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A1393">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p w14:paraId="6A7D2B99">
      <w:pPr>
        <w:widowControl/>
        <w:spacing w:line="480" w:lineRule="exact"/>
        <w:jc w:val="center"/>
        <w:rPr>
          <w:rFonts w:ascii="方正小标宋简体" w:hAnsi="华文中宋" w:eastAsia="方正小标宋简体"/>
          <w:color w:val="000000"/>
          <w:sz w:val="44"/>
          <w:szCs w:val="40"/>
        </w:rPr>
      </w:pPr>
    </w:p>
    <w:tbl>
      <w:tblPr>
        <w:tblStyle w:val="11"/>
        <w:tblW w:w="9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
        <w:gridCol w:w="621"/>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4075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0" w:hRule="atLeast"/>
          <w:jc w:val="center"/>
        </w:trPr>
        <w:tc>
          <w:tcPr>
            <w:tcW w:w="1618" w:type="dxa"/>
            <w:gridSpan w:val="4"/>
            <w:vAlign w:val="center"/>
          </w:tcPr>
          <w:p w14:paraId="0205B285">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19D78C49">
            <w:pPr>
              <w:pStyle w:val="2"/>
              <w:widowControl/>
              <w:shd w:val="clear" w:color="auto" w:fill="FFFFFF"/>
              <w:ind w:left="150"/>
              <w:rPr>
                <w:rFonts w:hint="default" w:ascii="仿宋" w:hAnsi="仿宋" w:eastAsia="仿宋"/>
                <w:color w:val="000000"/>
                <w:sz w:val="28"/>
              </w:rPr>
            </w:pPr>
            <w:r>
              <w:rPr>
                <w:rFonts w:cs="宋体"/>
                <w:b w:val="0"/>
                <w:bCs w:val="0"/>
                <w:sz w:val="24"/>
                <w:szCs w:val="24"/>
                <w:shd w:val="clear" w:color="auto" w:fill="FFFFFF"/>
              </w:rPr>
              <w:t>老龄化浪潮里的新职业——探访“000001号”长期照护师王汝芳</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7DC2A0B">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7637E87A">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szCs w:val="28"/>
                <w:u w:val="single"/>
              </w:rPr>
              <w:t>组照</w:t>
            </w:r>
            <w:r>
              <w:rPr>
                <w:rFonts w:hint="eastAsia" w:ascii="仿宋" w:hAnsi="仿宋" w:eastAsia="仿宋"/>
                <w:color w:val="000000"/>
                <w:sz w:val="28"/>
              </w:rPr>
              <w:t>类</w:t>
            </w:r>
          </w:p>
          <w:p w14:paraId="702EFB59">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232F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01" w:hRule="atLeast"/>
          <w:jc w:val="center"/>
        </w:trPr>
        <w:tc>
          <w:tcPr>
            <w:tcW w:w="1618" w:type="dxa"/>
            <w:gridSpan w:val="4"/>
            <w:vAlign w:val="center"/>
          </w:tcPr>
          <w:p w14:paraId="3653A972">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6FE2265B">
            <w:pPr>
              <w:ind w:firstLine="708" w:firstLineChars="300"/>
              <w:jc w:val="left"/>
              <w:rPr>
                <w:rFonts w:ascii="仿宋" w:hAnsi="仿宋" w:eastAsia="仿宋"/>
                <w:color w:val="000000"/>
                <w:szCs w:val="21"/>
              </w:rPr>
            </w:pPr>
            <w:r>
              <w:rPr>
                <w:rFonts w:hint="eastAsia" w:ascii="宋体" w:hAnsi="宋体" w:cs="宋体"/>
                <w:spacing w:val="-2"/>
                <w:sz w:val="24"/>
              </w:rPr>
              <w:t xml:space="preserve">李博 许丛军  </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13A00F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0E80914D">
            <w:pPr>
              <w:jc w:val="left"/>
              <w:rPr>
                <w:rFonts w:ascii="仿宋" w:hAnsi="仿宋" w:eastAsia="仿宋"/>
                <w:color w:val="000000"/>
                <w:szCs w:val="21"/>
              </w:rPr>
            </w:pPr>
            <w:r>
              <w:rPr>
                <w:rFonts w:hint="eastAsia" w:ascii="宋体" w:hAnsi="宋体" w:cs="宋体"/>
                <w:spacing w:val="-4"/>
                <w:sz w:val="24"/>
              </w:rPr>
              <w:t>单峰  刘白皓</w:t>
            </w:r>
          </w:p>
        </w:tc>
      </w:tr>
      <w:tr w14:paraId="57791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595" w:hRule="atLeast"/>
          <w:jc w:val="center"/>
        </w:trPr>
        <w:tc>
          <w:tcPr>
            <w:tcW w:w="1618" w:type="dxa"/>
            <w:gridSpan w:val="4"/>
            <w:vAlign w:val="center"/>
          </w:tcPr>
          <w:p w14:paraId="46C09EF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425CCD32">
            <w:pPr>
              <w:jc w:val="left"/>
              <w:rPr>
                <w:rFonts w:ascii="仿宋" w:hAnsi="仿宋" w:eastAsia="仿宋"/>
                <w:color w:val="000000"/>
                <w:szCs w:val="21"/>
              </w:rPr>
            </w:pPr>
            <w:r>
              <w:rPr>
                <w:rFonts w:hint="eastAsia" w:ascii="仿宋" w:hAnsi="仿宋" w:eastAsia="仿宋"/>
                <w:color w:val="000000"/>
                <w:szCs w:val="21"/>
              </w:rPr>
              <w:t xml:space="preserve">     </w:t>
            </w:r>
            <w:r>
              <w:rPr>
                <w:rFonts w:hint="eastAsia" w:ascii="宋体" w:hAnsi="宋体" w:cs="宋体"/>
                <w:sz w:val="24"/>
              </w:rPr>
              <w:t>江海晚报</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757105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14D4225">
            <w:pPr>
              <w:ind w:firstLine="480" w:firstLineChars="200"/>
              <w:jc w:val="left"/>
              <w:rPr>
                <w:rFonts w:ascii="仿宋" w:hAnsi="仿宋" w:eastAsia="仿宋"/>
                <w:color w:val="000000"/>
                <w:szCs w:val="21"/>
              </w:rPr>
            </w:pPr>
            <w:r>
              <w:rPr>
                <w:rFonts w:hint="eastAsia" w:ascii="宋体" w:hAnsi="宋体" w:cs="宋体"/>
                <w:sz w:val="24"/>
              </w:rPr>
              <w:t>江海晚报</w:t>
            </w:r>
          </w:p>
        </w:tc>
      </w:tr>
      <w:tr w14:paraId="0539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48" w:hRule="atLeast"/>
          <w:jc w:val="center"/>
        </w:trPr>
        <w:tc>
          <w:tcPr>
            <w:tcW w:w="1618" w:type="dxa"/>
            <w:gridSpan w:val="4"/>
            <w:vAlign w:val="center"/>
          </w:tcPr>
          <w:p w14:paraId="1A4EAB90">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5339199A">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3988F9CB">
            <w:pPr>
              <w:jc w:val="left"/>
              <w:rPr>
                <w:rFonts w:ascii="仿宋" w:hAnsi="仿宋" w:eastAsia="仿宋"/>
                <w:color w:val="000000"/>
                <w:szCs w:val="21"/>
              </w:rPr>
            </w:pPr>
            <w:r>
              <w:rPr>
                <w:rFonts w:hint="eastAsia" w:ascii="仿宋" w:hAnsi="仿宋" w:eastAsia="仿宋"/>
                <w:color w:val="000000"/>
                <w:szCs w:val="21"/>
              </w:rPr>
              <w:t xml:space="preserve">   </w:t>
            </w:r>
            <w:r>
              <w:rPr>
                <w:rFonts w:hint="eastAsia" w:ascii="仿宋" w:hAnsi="仿宋" w:eastAsia="仿宋"/>
                <w:color w:val="000000"/>
                <w:sz w:val="28"/>
                <w:szCs w:val="28"/>
              </w:rPr>
              <w:t xml:space="preserve">  影像</w:t>
            </w:r>
            <w:r>
              <w:rPr>
                <w:rFonts w:hint="eastAsia" w:ascii="仿宋" w:hAnsi="仿宋" w:eastAsia="仿宋" w:cs="仿宋"/>
                <w:color w:val="000000"/>
                <w:sz w:val="28"/>
                <w:szCs w:val="28"/>
              </w:rPr>
              <w:t>版</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603983C">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3267A37C">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年12月5日</w:t>
            </w:r>
          </w:p>
        </w:tc>
      </w:tr>
      <w:tr w14:paraId="61E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92" w:hRule="atLeast"/>
          <w:jc w:val="center"/>
        </w:trPr>
        <w:tc>
          <w:tcPr>
            <w:tcW w:w="1618" w:type="dxa"/>
            <w:gridSpan w:val="4"/>
            <w:vAlign w:val="center"/>
          </w:tcPr>
          <w:p w14:paraId="5123A0C7">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1C46C540">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4E4AD8A9">
            <w:pPr>
              <w:jc w:val="left"/>
              <w:rPr>
                <w:rFonts w:ascii="仿宋_GB2312" w:eastAsia="仿宋_GB2312"/>
                <w:color w:val="000000"/>
                <w:szCs w:val="21"/>
              </w:rPr>
            </w:pPr>
            <w:r>
              <w:rPr>
                <w:rFonts w:hint="eastAsia" w:ascii="仿宋" w:hAnsi="仿宋" w:eastAsia="仿宋"/>
                <w:color w:val="000000"/>
                <w:szCs w:val="21"/>
              </w:rPr>
              <w:t>https://nginx-ntfb.ntfabu.com/ntfb/zgnt/jhwbszb/pc/layout/202512/05/lA01.html#34948</w:t>
            </w: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3AE052AC">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5D7CC6B5">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227BD134">
            <w:pPr>
              <w:jc w:val="left"/>
              <w:rPr>
                <w:rFonts w:ascii="仿宋" w:hAnsi="仿宋" w:eastAsia="仿宋"/>
                <w:color w:val="000000"/>
                <w:szCs w:val="21"/>
              </w:rPr>
            </w:pPr>
          </w:p>
        </w:tc>
      </w:tr>
      <w:tr w14:paraId="08B8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46" w:hRule="atLeast"/>
          <w:jc w:val="center"/>
        </w:trPr>
        <w:tc>
          <w:tcPr>
            <w:tcW w:w="3319" w:type="dxa"/>
            <w:gridSpan w:val="8"/>
            <w:tcBorders>
              <w:right w:val="single" w:color="auto" w:sz="4" w:space="0"/>
            </w:tcBorders>
            <w:vAlign w:val="center"/>
          </w:tcPr>
          <w:p w14:paraId="5815A0D4">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1C674F23">
            <w:pPr>
              <w:ind w:firstLine="420" w:firstLineChars="200"/>
              <w:jc w:val="left"/>
              <w:rPr>
                <w:rFonts w:ascii="仿宋" w:hAnsi="仿宋" w:eastAsia="仿宋"/>
                <w:color w:val="000000"/>
                <w:szCs w:val="21"/>
              </w:rPr>
            </w:pPr>
            <w:r>
              <w:rPr>
                <w:rFonts w:hint="eastAsia" w:ascii="仿宋" w:hAnsi="仿宋" w:eastAsia="仿宋"/>
                <w:color w:val="000000"/>
                <w:szCs w:val="21"/>
              </w:rPr>
              <w:t>注：仅供配合文字报道的作品填报</w:t>
            </w:r>
          </w:p>
        </w:tc>
      </w:tr>
      <w:tr w14:paraId="1F1D5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635" w:hRule="atLeast"/>
          <w:jc w:val="center"/>
        </w:trPr>
        <w:tc>
          <w:tcPr>
            <w:tcW w:w="792" w:type="dxa"/>
            <w:gridSpan w:val="2"/>
            <w:vAlign w:val="center"/>
          </w:tcPr>
          <w:p w14:paraId="3B040F6F">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1FDD9014">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3FE42BA5">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0CA2F406">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3ACD2C03">
            <w:pPr>
              <w:widowControl/>
              <w:rPr>
                <w:rFonts w:ascii="仿宋" w:hAnsi="仿宋" w:eastAsia="仿宋"/>
                <w:color w:val="000000"/>
                <w:szCs w:val="21"/>
              </w:rPr>
            </w:pPr>
            <w:r>
              <w:rPr>
                <w:rFonts w:hint="eastAsia" w:ascii="宋体" w:hAnsi="宋体" w:cs="宋体"/>
                <w:sz w:val="24"/>
              </w:rPr>
              <w:t>本作品以全国首批长期照护师“00001”号获得者王汝芳为核心，通过持续半年的跟踪采访与现场拍摄，完整记录了我国长期照护职业化的重要里程碑。从4月28日全国首批长期照护师职业技能等级证书颁发的历史性时刻，记者深入一线，用镜头与文字还原了王汝芳为失能老人测量血压、洗头擦身、清洁照护等日常工作场景。作品既展现了长期照护从传统家政向专业护理转型的制度突破，也刻画了一线照护者“耐心、细心、专心”的职业坚守，以小见大映照出我国应对老龄化浪潮、完善民生保障的时代命题。报道兼具新闻性、纪实性与人文关怀，为新职业发展留存了珍贵的影像史料，传递出专业照护守护生命尊严的社会价值。</w:t>
            </w:r>
          </w:p>
        </w:tc>
      </w:tr>
      <w:tr w14:paraId="4FB77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1036" w:hRule="exact"/>
          <w:jc w:val="center"/>
        </w:trPr>
        <w:tc>
          <w:tcPr>
            <w:tcW w:w="792" w:type="dxa"/>
            <w:gridSpan w:val="2"/>
            <w:vMerge w:val="restart"/>
            <w:tcBorders>
              <w:tl2br w:val="nil"/>
              <w:tr2bl w:val="nil"/>
            </w:tcBorders>
            <w:vAlign w:val="center"/>
          </w:tcPr>
          <w:p w14:paraId="5DC0A56E">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7FAFAB27">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37762072">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674C23B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72C048C1">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2CF244DA">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04F1F6E2">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298B85BB">
            <w:pPr>
              <w:spacing w:line="280" w:lineRule="exact"/>
              <w:rPr>
                <w:rFonts w:ascii="仿宋" w:hAnsi="仿宋" w:eastAsia="仿宋"/>
                <w:color w:val="000000"/>
                <w:szCs w:val="21"/>
              </w:rPr>
            </w:pPr>
            <w:r>
              <w:rPr>
                <w:rFonts w:hint="eastAsia" w:ascii="仿宋" w:hAnsi="仿宋" w:eastAsia="仿宋"/>
                <w:color w:val="000000"/>
                <w:szCs w:val="21"/>
              </w:rPr>
              <w:t>https://nginx-ntfb.ntfabu.com/ntfb/zgnt/jhwbszb/pc/layout/202512/05/lA01.html#34948</w:t>
            </w:r>
          </w:p>
        </w:tc>
      </w:tr>
      <w:tr w14:paraId="6DF87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570" w:hRule="exact"/>
          <w:jc w:val="center"/>
        </w:trPr>
        <w:tc>
          <w:tcPr>
            <w:tcW w:w="792" w:type="dxa"/>
            <w:gridSpan w:val="2"/>
            <w:vMerge w:val="continue"/>
            <w:tcBorders>
              <w:tl2br w:val="nil"/>
              <w:tr2bl w:val="nil"/>
            </w:tcBorders>
            <w:vAlign w:val="center"/>
          </w:tcPr>
          <w:p w14:paraId="515C246A">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7ED8EBD0">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140BF4CF">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0903FC4E">
            <w:pPr>
              <w:spacing w:line="240" w:lineRule="exact"/>
              <w:rPr>
                <w:rFonts w:ascii="仿宋" w:hAnsi="仿宋" w:eastAsia="仿宋"/>
                <w:color w:val="000000"/>
                <w:szCs w:val="21"/>
              </w:rPr>
            </w:pPr>
          </w:p>
        </w:tc>
        <w:tc>
          <w:tcPr>
            <w:tcW w:w="1005" w:type="dxa"/>
            <w:gridSpan w:val="3"/>
            <w:tcBorders>
              <w:tl2br w:val="nil"/>
              <w:tr2bl w:val="nil"/>
            </w:tcBorders>
            <w:vAlign w:val="center"/>
          </w:tcPr>
          <w:p w14:paraId="081A19CA">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5531A174">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6BCBB54E">
            <w:pPr>
              <w:spacing w:line="240" w:lineRule="exact"/>
              <w:rPr>
                <w:rFonts w:ascii="仿宋" w:hAnsi="仿宋" w:eastAsia="仿宋"/>
                <w:color w:val="000000"/>
                <w:szCs w:val="21"/>
              </w:rPr>
            </w:pPr>
            <w:r>
              <w:rPr>
                <w:rFonts w:hint="eastAsia" w:ascii="仿宋" w:hAnsi="仿宋" w:eastAsia="仿宋"/>
                <w:color w:val="000000"/>
                <w:szCs w:val="21"/>
              </w:rPr>
              <w:t>点赞、转发、评论总和</w:t>
            </w:r>
          </w:p>
        </w:tc>
        <w:tc>
          <w:tcPr>
            <w:tcW w:w="1122" w:type="dxa"/>
            <w:gridSpan w:val="3"/>
            <w:tcBorders>
              <w:tl2br w:val="nil"/>
              <w:tr2bl w:val="nil"/>
            </w:tcBorders>
            <w:vAlign w:val="center"/>
          </w:tcPr>
          <w:p w14:paraId="717A56BD">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32423B6E">
            <w:pPr>
              <w:spacing w:line="240" w:lineRule="exact"/>
              <w:rPr>
                <w:rFonts w:ascii="仿宋" w:hAnsi="仿宋" w:eastAsia="仿宋"/>
                <w:color w:val="000000"/>
                <w:szCs w:val="21"/>
              </w:rPr>
            </w:pPr>
          </w:p>
        </w:tc>
      </w:tr>
      <w:tr w14:paraId="23F5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0" w:hRule="atLeast"/>
          <w:jc w:val="center"/>
        </w:trPr>
        <w:tc>
          <w:tcPr>
            <w:tcW w:w="792" w:type="dxa"/>
            <w:gridSpan w:val="2"/>
            <w:vAlign w:val="center"/>
          </w:tcPr>
          <w:p w14:paraId="7FA4FA10">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0264B5E8">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5D53A660">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5133A67A">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7417C69E">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217BDDFB">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51D0806C">
            <w:pPr>
              <w:spacing w:line="360" w:lineRule="exact"/>
              <w:jc w:val="left"/>
              <w:rPr>
                <w:rFonts w:ascii="华文中宋" w:hAnsi="华文中宋" w:eastAsia="华文中宋"/>
                <w:color w:val="000000"/>
                <w:sz w:val="28"/>
                <w:szCs w:val="20"/>
              </w:rPr>
            </w:pPr>
            <w:r>
              <w:rPr>
                <w:rFonts w:hint="eastAsia" w:ascii="宋体" w:hAnsi="宋体" w:cs="宋体"/>
                <w:spacing w:val="-2"/>
                <w:sz w:val="24"/>
              </w:rPr>
              <w:t>该作品紧扣我国老龄化的时代背景，以“00001号”长期照护师王汝芳为切口，选题精准、视角独特，见证了我国长期照护体系规范化起步的关键节点。记者坚持蹲点式采访，跨越数月全程跟踪拍摄，从证书颁发到日常服务，细节扎实、情感真挚，兼具历史记录价值与现实传播力。作品以人物故事承载制度进步，既彰显了长期照护职业化的里程碑意义，也传递了对老年群体与一线劳动者的深切关怀，主题鲜明、导向正确。叙事平实有力，画面真实可感，充分体现了记者脚力、眼力、脑力、笔力。作品聚焦民生刚需、讲好职业故事，为社会理解与支持长期照护事业提供了优质样本，符合新闻奖评选的价值导向与专业标准。</w:t>
            </w:r>
            <w:r>
              <w:rPr>
                <w:rFonts w:hint="eastAsia" w:ascii="华文中宋" w:hAnsi="华文中宋" w:eastAsia="华文中宋"/>
                <w:color w:val="000000"/>
                <w:spacing w:val="-2"/>
                <w:sz w:val="28"/>
                <w:szCs w:val="20"/>
              </w:rPr>
              <w:t>签名：</w:t>
            </w:r>
          </w:p>
          <w:p w14:paraId="3640EC2A">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6020A496">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年4月</w:t>
            </w:r>
            <w:r>
              <w:rPr>
                <w:rFonts w:hint="eastAsia" w:ascii="华文中宋" w:hAnsi="华文中宋" w:eastAsia="华文中宋"/>
                <w:color w:val="000000"/>
                <w:sz w:val="28"/>
                <w:szCs w:val="28"/>
                <w:lang w:val="en-US" w:eastAsia="zh-CN"/>
              </w:rPr>
              <w:t xml:space="preserve">  </w:t>
            </w:r>
            <w:r>
              <w:rPr>
                <w:rFonts w:hint="eastAsia" w:ascii="华文中宋" w:hAnsi="华文中宋" w:eastAsia="华文中宋"/>
                <w:color w:val="000000"/>
                <w:sz w:val="28"/>
                <w:szCs w:val="28"/>
              </w:rPr>
              <w:t>日</w:t>
            </w:r>
          </w:p>
        </w:tc>
      </w:tr>
      <w:tr w14:paraId="6B798B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55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2005DB5A">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5734E401">
            <w:pPr>
              <w:spacing w:line="360" w:lineRule="exact"/>
              <w:ind w:firstLine="560" w:firstLineChars="200"/>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9578E40">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45DF0A58">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B7EE44B">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3DF662E1">
            <w:pPr>
              <w:spacing w:line="360" w:lineRule="exact"/>
              <w:rPr>
                <w:rFonts w:ascii="华文中宋" w:hAnsi="华文中宋" w:eastAsia="华文中宋"/>
                <w:color w:val="000000"/>
                <w:sz w:val="28"/>
                <w:szCs w:val="28"/>
              </w:rPr>
            </w:pPr>
          </w:p>
        </w:tc>
      </w:tr>
      <w:tr w14:paraId="0DFED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7ED2C31A">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528EDB0C">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0852EF4">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64B64FC5">
            <w:pPr>
              <w:spacing w:line="360" w:lineRule="exact"/>
              <w:rPr>
                <w:rFonts w:ascii="华文中宋" w:hAnsi="华文中宋" w:eastAsia="华文中宋"/>
                <w:color w:val="000000"/>
                <w:sz w:val="28"/>
                <w:szCs w:val="28"/>
              </w:rPr>
            </w:pPr>
          </w:p>
        </w:tc>
      </w:tr>
      <w:tr w14:paraId="30DE4F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879" w:type="dxa"/>
            <w:gridSpan w:val="24"/>
            <w:tcBorders>
              <w:top w:val="single" w:color="auto" w:sz="4" w:space="0"/>
              <w:left w:val="single" w:color="auto" w:sz="4" w:space="0"/>
              <w:right w:val="single" w:color="auto" w:sz="4" w:space="0"/>
            </w:tcBorders>
            <w:vAlign w:val="center"/>
          </w:tcPr>
          <w:p w14:paraId="7F155508">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5C896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10" w:type="dxa"/>
            <w:gridSpan w:val="2"/>
            <w:vMerge w:val="restart"/>
            <w:vAlign w:val="center"/>
          </w:tcPr>
          <w:p w14:paraId="793EDB8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153CEE47">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0068AE17">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67D7B3A6">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421C52C2">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2C6ADAF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1536A2CD">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0E02A0C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088A5F80">
            <w:pPr>
              <w:jc w:val="center"/>
              <w:rPr>
                <w:rFonts w:ascii="仿宋" w:hAnsi="仿宋" w:eastAsia="仿宋"/>
                <w:color w:val="000000"/>
                <w:sz w:val="20"/>
                <w:szCs w:val="20"/>
              </w:rPr>
            </w:pPr>
          </w:p>
        </w:tc>
      </w:tr>
      <w:tr w14:paraId="18E8D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10" w:type="dxa"/>
            <w:gridSpan w:val="2"/>
            <w:vMerge w:val="continue"/>
            <w:vAlign w:val="center"/>
          </w:tcPr>
          <w:p w14:paraId="4B9E9D90">
            <w:pPr>
              <w:spacing w:line="240" w:lineRule="exact"/>
              <w:jc w:val="center"/>
              <w:rPr>
                <w:rFonts w:ascii="华文中宋" w:hAnsi="华文中宋" w:eastAsia="华文中宋"/>
                <w:color w:val="000000"/>
                <w:sz w:val="24"/>
              </w:rPr>
            </w:pPr>
          </w:p>
        </w:tc>
        <w:tc>
          <w:tcPr>
            <w:tcW w:w="710" w:type="dxa"/>
            <w:gridSpan w:val="2"/>
            <w:vAlign w:val="center"/>
          </w:tcPr>
          <w:p w14:paraId="019609D5">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5287B65E">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2858E125">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57DCF0EB">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1A4227B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564135B4">
            <w:pPr>
              <w:jc w:val="center"/>
              <w:rPr>
                <w:rFonts w:ascii="仿宋" w:hAnsi="仿宋" w:eastAsia="仿宋"/>
                <w:color w:val="000000"/>
                <w:sz w:val="20"/>
                <w:szCs w:val="20"/>
              </w:rPr>
            </w:pPr>
          </w:p>
        </w:tc>
      </w:tr>
      <w:tr w14:paraId="7E96C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520" w:type="dxa"/>
            <w:gridSpan w:val="4"/>
            <w:vAlign w:val="center"/>
          </w:tcPr>
          <w:p w14:paraId="5D3E668D">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7B9DA566">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07961DF2">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282682EB">
            <w:pPr>
              <w:rPr>
                <w:rFonts w:ascii="仿宋" w:hAnsi="仿宋" w:eastAsia="仿宋"/>
                <w:color w:val="000000"/>
                <w:w w:val="95"/>
                <w:szCs w:val="21"/>
              </w:rPr>
            </w:pPr>
          </w:p>
          <w:p w14:paraId="6DA37417">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7E972379">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6C871A35">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5E181426">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647D6614">
            <w:pPr>
              <w:spacing w:line="380" w:lineRule="exact"/>
              <w:jc w:val="center"/>
              <w:rPr>
                <w:rFonts w:ascii="仿宋" w:hAnsi="仿宋" w:eastAsia="仿宋"/>
                <w:b/>
                <w:color w:val="000000"/>
                <w:szCs w:val="21"/>
              </w:rPr>
            </w:pPr>
          </w:p>
        </w:tc>
      </w:tr>
    </w:tbl>
    <w:p w14:paraId="65683EA6">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6B9E3AB5">
      <w:pPr>
        <w:spacing w:line="600" w:lineRule="exact"/>
        <w:rPr>
          <w:rFonts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EB686F-3C77-487D-869E-E3E393F06A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00"/>
    <w:family w:val="auto"/>
    <w:pitch w:val="default"/>
    <w:sig w:usb0="00000000" w:usb1="00000000" w:usb2="00000000" w:usb3="00000000" w:csb0="00040001" w:csb1="00000000"/>
    <w:embedRegular r:id="rId2" w:fontKey="{0065ECB3-4AF1-4D85-996B-1FDF49F7BAC4}"/>
  </w:font>
  <w:font w:name="仿宋">
    <w:panose1 w:val="02010609060101010101"/>
    <w:charset w:val="86"/>
    <w:family w:val="modern"/>
    <w:pitch w:val="default"/>
    <w:sig w:usb0="800002BF" w:usb1="38CF7CFA" w:usb2="00000016" w:usb3="00000000" w:csb0="00040001" w:csb1="00000000"/>
    <w:embedRegular r:id="rId3" w:fontKey="{BC79F189-B0E6-4183-8C81-1A6DE346E269}"/>
  </w:font>
  <w:font w:name="方正小标宋简体">
    <w:panose1 w:val="02000000000000000000"/>
    <w:charset w:val="86"/>
    <w:family w:val="script"/>
    <w:pitch w:val="default"/>
    <w:sig w:usb0="00000001" w:usb1="08000000" w:usb2="00000000" w:usb3="00000000" w:csb0="00040000" w:csb1="00000000"/>
    <w:embedRegular r:id="rId4" w:fontKey="{CB5605C0-639B-474A-B49F-0E035B35EC4E}"/>
  </w:font>
  <w:font w:name="华文中宋">
    <w:panose1 w:val="02010600040101010101"/>
    <w:charset w:val="86"/>
    <w:family w:val="auto"/>
    <w:pitch w:val="default"/>
    <w:sig w:usb0="00000287" w:usb1="080F0000" w:usb2="00000000" w:usb3="00000000" w:csb0="0004009F" w:csb1="DFD70000"/>
    <w:embedRegular r:id="rId5" w:fontKey="{9F0714EB-BD87-4712-9D2E-CEA6DA2428C6}"/>
  </w:font>
  <w:font w:name="楷体">
    <w:panose1 w:val="02010609060101010101"/>
    <w:charset w:val="86"/>
    <w:family w:val="modern"/>
    <w:pitch w:val="default"/>
    <w:sig w:usb0="800002BF" w:usb1="38CF7CFA" w:usb2="00000016" w:usb3="00000000" w:csb0="00040001" w:csb1="00000000"/>
    <w:embedRegular r:id="rId6" w:fontKey="{8E70C10C-F923-4E07-9EEC-F8E8237CBAE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C06D2">
    <w:pPr>
      <w:pStyle w:val="6"/>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D9A57">
    <w:pPr>
      <w:pStyle w:val="6"/>
      <w:framePr w:wrap="around" w:vAnchor="text" w:hAnchor="margin" w:xAlign="outside" w:y="1"/>
      <w:rPr>
        <w:rStyle w:val="14"/>
      </w:rPr>
    </w:pPr>
    <w:r>
      <w:rPr>
        <w:rStyle w:val="14"/>
      </w:rPr>
      <w:fldChar w:fldCharType="begin"/>
    </w:r>
    <w:r>
      <w:rPr>
        <w:rStyle w:val="14"/>
      </w:rPr>
      <w:instrText xml:space="preserve">PAGE  </w:instrText>
    </w:r>
    <w:r>
      <w:rPr>
        <w:rStyle w:val="14"/>
      </w:rPr>
      <w:fldChar w:fldCharType="separate"/>
    </w:r>
    <w:r>
      <w:rPr>
        <w:rStyle w:val="14"/>
      </w:rPr>
      <w:t>- 8 -</w:t>
    </w:r>
    <w:r>
      <w:rPr>
        <w:rStyle w:val="14"/>
      </w:rPr>
      <w:fldChar w:fldCharType="end"/>
    </w:r>
  </w:p>
  <w:p w14:paraId="1CEB8C03">
    <w:pPr>
      <w:pStyle w:val="6"/>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5"/>
  <w:doNotDisplayPageBoundaries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085"/>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9C5"/>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557"/>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AC6F8C"/>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4F252A"/>
    <w:rsid w:val="186D5362"/>
    <w:rsid w:val="192A54F0"/>
    <w:rsid w:val="192A5572"/>
    <w:rsid w:val="192A61CC"/>
    <w:rsid w:val="19FC511B"/>
    <w:rsid w:val="1A27385F"/>
    <w:rsid w:val="1ADF05DE"/>
    <w:rsid w:val="1CC63804"/>
    <w:rsid w:val="1D496F42"/>
    <w:rsid w:val="1DA82F09"/>
    <w:rsid w:val="1E42510C"/>
    <w:rsid w:val="1EEB7551"/>
    <w:rsid w:val="1FC075B8"/>
    <w:rsid w:val="1FFF61A3"/>
    <w:rsid w:val="23977CA8"/>
    <w:rsid w:val="23C91E2B"/>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CC769A"/>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90177EE"/>
    <w:rsid w:val="49672255"/>
    <w:rsid w:val="4A64732B"/>
    <w:rsid w:val="4B5A4979"/>
    <w:rsid w:val="4C4D6397"/>
    <w:rsid w:val="4C72630D"/>
    <w:rsid w:val="4D67596C"/>
    <w:rsid w:val="4E2B70BB"/>
    <w:rsid w:val="4ED11A10"/>
    <w:rsid w:val="4F0771E0"/>
    <w:rsid w:val="50210776"/>
    <w:rsid w:val="50962F12"/>
    <w:rsid w:val="514C35D0"/>
    <w:rsid w:val="519D207E"/>
    <w:rsid w:val="52EF36B3"/>
    <w:rsid w:val="542D76E9"/>
    <w:rsid w:val="54B30950"/>
    <w:rsid w:val="55776249"/>
    <w:rsid w:val="55B856D8"/>
    <w:rsid w:val="577B69BD"/>
    <w:rsid w:val="58B33F35"/>
    <w:rsid w:val="595079D6"/>
    <w:rsid w:val="5A26026C"/>
    <w:rsid w:val="5A7476F4"/>
    <w:rsid w:val="5A992628"/>
    <w:rsid w:val="5B1E5546"/>
    <w:rsid w:val="5B21162A"/>
    <w:rsid w:val="5BFB631F"/>
    <w:rsid w:val="5CB07109"/>
    <w:rsid w:val="5D901DE4"/>
    <w:rsid w:val="5D9E3405"/>
    <w:rsid w:val="5ECC7C0C"/>
    <w:rsid w:val="5F3D6A1F"/>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C5653"/>
    <w:rsid w:val="690802CD"/>
    <w:rsid w:val="694C0D78"/>
    <w:rsid w:val="69F04FE9"/>
    <w:rsid w:val="6B5B12D4"/>
    <w:rsid w:val="6CA4030D"/>
    <w:rsid w:val="6D5C4743"/>
    <w:rsid w:val="6E0C6690"/>
    <w:rsid w:val="6EB658A0"/>
    <w:rsid w:val="6FF06F0A"/>
    <w:rsid w:val="713F23B2"/>
    <w:rsid w:val="715B3690"/>
    <w:rsid w:val="715E0A94"/>
    <w:rsid w:val="7160074B"/>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b/>
      <w:bCs/>
      <w:kern w:val="0"/>
      <w:sz w:val="27"/>
      <w:szCs w:val="27"/>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qFormat/>
    <w:uiPriority w:val="0"/>
    <w:pPr>
      <w:jc w:val="left"/>
    </w:pPr>
    <w:rPr>
      <w:szCs w:val="20"/>
    </w:rPr>
  </w:style>
  <w:style w:type="paragraph" w:styleId="4">
    <w:name w:val="Body Text 3"/>
    <w:basedOn w:val="1"/>
    <w:link w:val="18"/>
    <w:unhideWhenUsed/>
    <w:qFormat/>
    <w:uiPriority w:val="99"/>
    <w:pPr>
      <w:widowControl/>
      <w:spacing w:after="120" w:line="560" w:lineRule="exact"/>
      <w:ind w:firstLine="200" w:firstLineChars="200"/>
      <w:jc w:val="left"/>
    </w:pPr>
    <w:rPr>
      <w:sz w:val="16"/>
      <w:szCs w:val="16"/>
    </w:rPr>
  </w:style>
  <w:style w:type="paragraph" w:styleId="5">
    <w:name w:val="Balloon Text"/>
    <w:basedOn w:val="1"/>
    <w:link w:val="19"/>
    <w:qFormat/>
    <w:uiPriority w:val="0"/>
    <w:rPr>
      <w:sz w:val="18"/>
      <w:szCs w:val="18"/>
    </w:rPr>
  </w:style>
  <w:style w:type="paragraph" w:styleId="6">
    <w:name w:val="footer"/>
    <w:basedOn w:val="1"/>
    <w:link w:val="20"/>
    <w:qFormat/>
    <w:uiPriority w:val="99"/>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link w:val="22"/>
    <w:unhideWhenUsed/>
    <w:qFormat/>
    <w:uiPriority w:val="99"/>
    <w:pPr>
      <w:spacing w:after="120" w:line="480" w:lineRule="auto"/>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annotation subject"/>
    <w:basedOn w:val="3"/>
    <w:next w:val="3"/>
    <w:link w:val="23"/>
    <w:unhideWhenUsed/>
    <w:qFormat/>
    <w:uiPriority w:val="99"/>
    <w:rPr>
      <w:b/>
      <w:bCs/>
      <w:szCs w:val="24"/>
    </w:rPr>
  </w:style>
  <w:style w:type="character" w:styleId="13">
    <w:name w:val="Strong"/>
    <w:qFormat/>
    <w:uiPriority w:val="0"/>
    <w:rPr>
      <w:rFonts w:ascii="Times New Roman" w:hAnsi="Times New Roman" w:eastAsia="宋体" w:cs="Times New Roman"/>
      <w:b/>
      <w:bCs/>
    </w:rPr>
  </w:style>
  <w:style w:type="character" w:styleId="14">
    <w:name w:val="page number"/>
    <w:qFormat/>
    <w:uiPriority w:val="0"/>
  </w:style>
  <w:style w:type="character" w:styleId="15">
    <w:name w:val="Hyperlink"/>
    <w:qFormat/>
    <w:uiPriority w:val="0"/>
    <w:rPr>
      <w:rFonts w:ascii="Times New Roman" w:hAnsi="Times New Roman" w:eastAsia="宋体" w:cs="Times New Roman"/>
      <w:color w:val="0000FF"/>
      <w:u w:val="single"/>
    </w:rPr>
  </w:style>
  <w:style w:type="character" w:styleId="16">
    <w:name w:val="annotation reference"/>
    <w:qFormat/>
    <w:uiPriority w:val="0"/>
    <w:rPr>
      <w:sz w:val="21"/>
      <w:szCs w:val="21"/>
    </w:rPr>
  </w:style>
  <w:style w:type="character" w:customStyle="1" w:styleId="17">
    <w:name w:val="批注文字 字符"/>
    <w:link w:val="3"/>
    <w:qFormat/>
    <w:uiPriority w:val="0"/>
    <w:rPr>
      <w:rFonts w:ascii="Times New Roman" w:hAnsi="Times New Roman" w:eastAsia="宋体" w:cs="Times New Roman"/>
      <w:kern w:val="2"/>
      <w:sz w:val="21"/>
    </w:rPr>
  </w:style>
  <w:style w:type="character" w:customStyle="1" w:styleId="18">
    <w:name w:val="正文文本 3 字符"/>
    <w:link w:val="4"/>
    <w:qFormat/>
    <w:uiPriority w:val="99"/>
    <w:rPr>
      <w:rFonts w:ascii="Times New Roman" w:hAnsi="Times New Roman" w:eastAsia="宋体" w:cs="Times New Roman"/>
      <w:kern w:val="2"/>
      <w:sz w:val="16"/>
      <w:szCs w:val="16"/>
    </w:rPr>
  </w:style>
  <w:style w:type="character" w:customStyle="1" w:styleId="19">
    <w:name w:val="批注框文本 字符"/>
    <w:link w:val="5"/>
    <w:qFormat/>
    <w:uiPriority w:val="0"/>
    <w:rPr>
      <w:rFonts w:ascii="Times New Roman" w:hAnsi="Times New Roman" w:eastAsia="宋体" w:cs="Times New Roman"/>
      <w:kern w:val="2"/>
      <w:sz w:val="18"/>
      <w:szCs w:val="18"/>
    </w:rPr>
  </w:style>
  <w:style w:type="character" w:customStyle="1" w:styleId="20">
    <w:name w:val="页脚 字符"/>
    <w:link w:val="6"/>
    <w:qFormat/>
    <w:uiPriority w:val="99"/>
    <w:rPr>
      <w:rFonts w:ascii="Times New Roman" w:hAnsi="Times New Roman" w:eastAsia="宋体" w:cs="Times New Roman"/>
      <w:kern w:val="2"/>
      <w:sz w:val="18"/>
      <w:szCs w:val="18"/>
    </w:rPr>
  </w:style>
  <w:style w:type="character" w:customStyle="1" w:styleId="21">
    <w:name w:val="页眉 字符"/>
    <w:link w:val="7"/>
    <w:qFormat/>
    <w:uiPriority w:val="0"/>
    <w:rPr>
      <w:rFonts w:ascii="Times New Roman" w:hAnsi="Times New Roman" w:eastAsia="宋体" w:cs="Times New Roman"/>
      <w:kern w:val="2"/>
      <w:sz w:val="18"/>
      <w:szCs w:val="18"/>
    </w:rPr>
  </w:style>
  <w:style w:type="character" w:customStyle="1" w:styleId="22">
    <w:name w:val="正文文本 2 字符"/>
    <w:link w:val="8"/>
    <w:semiHidden/>
    <w:qFormat/>
    <w:uiPriority w:val="99"/>
    <w:rPr>
      <w:rFonts w:ascii="Times New Roman" w:hAnsi="Times New Roman" w:eastAsia="宋体" w:cs="Times New Roman"/>
      <w:kern w:val="2"/>
      <w:sz w:val="21"/>
      <w:szCs w:val="24"/>
    </w:rPr>
  </w:style>
  <w:style w:type="character" w:customStyle="1" w:styleId="23">
    <w:name w:val="批注主题 字符"/>
    <w:link w:val="10"/>
    <w:semiHidden/>
    <w:qFormat/>
    <w:uiPriority w:val="99"/>
    <w:rPr>
      <w:rFonts w:ascii="Times New Roman" w:hAnsi="Times New Roman" w:eastAsia="宋体" w:cs="Times New Roman"/>
      <w:b/>
      <w:bCs/>
      <w:kern w:val="2"/>
      <w:sz w:val="21"/>
      <w:szCs w:val="24"/>
    </w:rPr>
  </w:style>
  <w:style w:type="paragraph" w:customStyle="1" w:styleId="24">
    <w:name w:val="纯文本1"/>
    <w:basedOn w:val="1"/>
    <w:qFormat/>
    <w:uiPriority w:val="0"/>
    <w:pPr>
      <w:adjustRightInd w:val="0"/>
      <w:textAlignment w:val="baseline"/>
    </w:pPr>
    <w:rPr>
      <w:rFonts w:ascii="宋体" w:hAnsi="Courier New"/>
      <w:szCs w:val="20"/>
    </w:rPr>
  </w:style>
  <w:style w:type="paragraph" w:customStyle="1" w:styleId="25">
    <w:name w:val="Char Char9 Char Char"/>
    <w:basedOn w:val="1"/>
    <w:qFormat/>
    <w:uiPriority w:val="0"/>
    <w:rPr>
      <w:rFonts w:ascii="仿宋_GB2312" w:eastAsia="仿宋_GB2312"/>
      <w:b/>
      <w:sz w:val="32"/>
      <w:szCs w:val="32"/>
    </w:rPr>
  </w:style>
  <w:style w:type="paragraph" w:customStyle="1" w:styleId="26">
    <w:name w:val="纯文本11"/>
    <w:basedOn w:val="1"/>
    <w:qFormat/>
    <w:uiPriority w:val="0"/>
    <w:pPr>
      <w:adjustRightInd w:val="0"/>
      <w:textAlignment w:val="baseline"/>
    </w:pPr>
    <w:rPr>
      <w:rFonts w:ascii="宋体" w:hAnsi="Courier New"/>
      <w:szCs w:val="20"/>
    </w:rPr>
  </w:style>
  <w:style w:type="character" w:customStyle="1" w:styleId="27">
    <w:name w:val="页眉 Char"/>
    <w:qFormat/>
    <w:uiPriority w:val="0"/>
    <w:rPr>
      <w:sz w:val="18"/>
      <w:szCs w:val="18"/>
    </w:rPr>
  </w:style>
  <w:style w:type="character" w:customStyle="1" w:styleId="28">
    <w:name w:val="正文文本 3 Char"/>
    <w:qFormat/>
    <w:uiPriority w:val="99"/>
    <w:rPr>
      <w:kern w:val="2"/>
      <w:sz w:val="16"/>
      <w:szCs w:val="16"/>
    </w:rPr>
  </w:style>
  <w:style w:type="paragraph" w:customStyle="1" w:styleId="29">
    <w:name w:val="修订1"/>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931</Words>
  <Characters>1159</Characters>
  <Lines>10</Lines>
  <Paragraphs>2</Paragraphs>
  <TotalTime>1</TotalTime>
  <ScaleCrop>false</ScaleCrop>
  <LinksUpToDate>false</LinksUpToDate>
  <CharactersWithSpaces>1330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2026-04-13T05:06:00Z</dcterms:created>
  <dc:creator>中国记协</dc:creator>
  <cp:lastModifiedBy>静静</cp:lastModifiedBy>
  <cp:lastPrinted>2025-03-17T09:00:00Z</cp:lastPrinted>
  <dcterms:modified xsi:type="dcterms:W3CDTF">2026-04-15T08:10:47Z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1F700E78E962462AA946AD64CE158521_13</vt:lpwstr>
  </property>
  <property fmtid="{D5CDD505-2E9C-101B-9397-08002B2CF9AE}" pid="4" name="KSOTemplateDocerSaveRecord">
    <vt:lpwstr>eyJoZGlkIjoiMDA4NjI5ZTI4NTQ4ZTQyYWFkNjA4NDU1NWM5MTdkN2EiLCJ1c2VySWQiOiI1NzY2NDU2NjMifQ==</vt:lpwstr>
  </property>
</Properties>
</file>