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 xml:space="preserve"> 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864"/>
        <w:gridCol w:w="1013"/>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exact"/>
        </w:trPr>
        <w:tc>
          <w:tcPr>
            <w:tcW w:w="992" w:type="dxa"/>
            <w:tcBorders>
              <w:tl2br w:val="nil"/>
              <w:tr2bl w:val="nil"/>
            </w:tcBorders>
            <w:vAlign w:val="center"/>
          </w:tcPr>
          <w:p w14:paraId="3D56D54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587" w:type="dxa"/>
            <w:gridSpan w:val="4"/>
            <w:tcBorders>
              <w:tl2br w:val="nil"/>
              <w:tr2bl w:val="nil"/>
            </w:tcBorders>
            <w:vAlign w:val="center"/>
          </w:tcPr>
          <w:p w14:paraId="5609971C">
            <w:pPr>
              <w:spacing w:line="240" w:lineRule="exact"/>
              <w:ind w:firstLine="240" w:firstLineChars="100"/>
              <w:jc w:val="left"/>
              <w:rPr>
                <w:rFonts w:ascii="仿宋" w:hAnsi="仿宋" w:eastAsia="仿宋" w:cs="仿宋"/>
                <w:color w:val="000000"/>
                <w:sz w:val="24"/>
                <w:szCs w:val="24"/>
              </w:rPr>
            </w:pPr>
            <w:r>
              <w:rPr>
                <w:rFonts w:hint="eastAsia" w:ascii="仿宋" w:hAnsi="仿宋" w:eastAsia="仿宋" w:cs="仿宋"/>
                <w:color w:val="000000"/>
                <w:sz w:val="24"/>
                <w:szCs w:val="24"/>
              </w:rPr>
              <w:t>三位村书记的约定</w:t>
            </w:r>
          </w:p>
        </w:tc>
        <w:tc>
          <w:tcPr>
            <w:tcW w:w="1960" w:type="dxa"/>
            <w:gridSpan w:val="2"/>
            <w:tcBorders>
              <w:tl2br w:val="nil"/>
              <w:tr2bl w:val="nil"/>
            </w:tcBorders>
            <w:vAlign w:val="center"/>
          </w:tcPr>
          <w:p w14:paraId="4D0A6EB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rPr>
                <w:rFonts w:ascii="仿宋" w:hAnsi="仿宋" w:eastAsia="仿宋" w:cs="仿宋"/>
                <w:color w:val="000000"/>
                <w:sz w:val="24"/>
                <w:szCs w:val="24"/>
              </w:rPr>
            </w:pPr>
            <w:r>
              <w:rPr>
                <w:rFonts w:hint="eastAsia" w:ascii="仿宋" w:hAnsi="仿宋" w:eastAsia="仿宋" w:cs="仿宋"/>
                <w:color w:val="000000"/>
                <w:sz w:val="24"/>
                <w:szCs w:val="24"/>
              </w:rPr>
              <w:t>典型报道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exact"/>
        </w:trPr>
        <w:tc>
          <w:tcPr>
            <w:tcW w:w="992" w:type="dxa"/>
            <w:vMerge w:val="restart"/>
            <w:tcBorders>
              <w:tl2br w:val="nil"/>
              <w:tr2bl w:val="nil"/>
            </w:tcBorders>
            <w:vAlign w:val="center"/>
          </w:tcPr>
          <w:p w14:paraId="420C0C5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587" w:type="dxa"/>
            <w:gridSpan w:val="4"/>
            <w:vMerge w:val="restart"/>
            <w:tcBorders>
              <w:tl2br w:val="nil"/>
              <w:tr2bl w:val="nil"/>
            </w:tcBorders>
            <w:vAlign w:val="center"/>
          </w:tcPr>
          <w:p w14:paraId="78038E3E">
            <w:pPr>
              <w:spacing w:line="240" w:lineRule="exact"/>
              <w:rPr>
                <w:rFonts w:ascii="仿宋" w:hAnsi="仿宋" w:eastAsia="仿宋" w:cs="仿宋"/>
                <w:color w:val="000000"/>
                <w:sz w:val="24"/>
                <w:szCs w:val="24"/>
              </w:rPr>
            </w:pPr>
            <w:r>
              <w:rPr>
                <w:rFonts w:hint="eastAsia" w:ascii="仿宋" w:hAnsi="仿宋" w:eastAsia="仿宋" w:cs="仿宋"/>
                <w:color w:val="000000"/>
                <w:sz w:val="24"/>
                <w:szCs w:val="24"/>
              </w:rPr>
              <w:t xml:space="preserve"> </w:t>
            </w:r>
            <w:r>
              <w:rPr>
                <w:rFonts w:ascii="仿宋" w:hAnsi="仿宋" w:eastAsia="仿宋" w:cs="仿宋"/>
                <w:color w:val="000000"/>
                <w:sz w:val="24"/>
                <w:szCs w:val="24"/>
              </w:rPr>
              <w:t xml:space="preserve"> 3</w:t>
            </w:r>
            <w:r>
              <w:rPr>
                <w:rFonts w:hint="eastAsia" w:ascii="仿宋" w:hAnsi="仿宋" w:eastAsia="仿宋" w:cs="仿宋"/>
                <w:color w:val="000000"/>
                <w:sz w:val="24"/>
                <w:szCs w:val="24"/>
              </w:rPr>
              <w:t>分1</w:t>
            </w:r>
            <w:r>
              <w:rPr>
                <w:rFonts w:ascii="仿宋" w:hAnsi="仿宋" w:eastAsia="仿宋" w:cs="仿宋"/>
                <w:color w:val="000000"/>
                <w:sz w:val="24"/>
                <w:szCs w:val="24"/>
              </w:rPr>
              <w:t>2</w:t>
            </w:r>
            <w:r>
              <w:rPr>
                <w:rFonts w:hint="eastAsia" w:ascii="仿宋" w:hAnsi="仿宋" w:eastAsia="仿宋" w:cs="仿宋"/>
                <w:color w:val="000000"/>
                <w:sz w:val="24"/>
                <w:szCs w:val="24"/>
              </w:rPr>
              <w:t>秒</w:t>
            </w:r>
          </w:p>
        </w:tc>
        <w:tc>
          <w:tcPr>
            <w:tcW w:w="1960" w:type="dxa"/>
            <w:gridSpan w:val="2"/>
            <w:tcBorders>
              <w:tl2br w:val="nil"/>
              <w:tr2bl w:val="nil"/>
            </w:tcBorders>
            <w:vAlign w:val="center"/>
          </w:tcPr>
          <w:p w14:paraId="3B74E81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rPr>
                <w:rFonts w:ascii="仿宋" w:hAnsi="仿宋" w:eastAsia="仿宋" w:cs="仿宋"/>
                <w:color w:val="000000"/>
                <w:sz w:val="24"/>
                <w:szCs w:val="24"/>
              </w:rPr>
            </w:pPr>
            <w:r>
              <w:rPr>
                <w:rFonts w:hint="eastAsia" w:ascii="仿宋" w:hAnsi="仿宋" w:eastAsia="仿宋" w:cs="仿宋"/>
                <w:color w:val="000000"/>
                <w:sz w:val="24"/>
                <w:szCs w:val="24"/>
              </w:rPr>
              <w:t>消息</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ascii="华文中宋" w:hAnsi="华文中宋" w:eastAsia="华文中宋"/>
                <w:color w:val="000000"/>
                <w:sz w:val="28"/>
              </w:rPr>
            </w:pPr>
          </w:p>
        </w:tc>
        <w:tc>
          <w:tcPr>
            <w:tcW w:w="3587" w:type="dxa"/>
            <w:gridSpan w:val="4"/>
            <w:vMerge w:val="continue"/>
            <w:tcBorders>
              <w:tl2br w:val="nil"/>
              <w:tr2bl w:val="nil"/>
            </w:tcBorders>
            <w:vAlign w:val="center"/>
          </w:tcPr>
          <w:p w14:paraId="0A8AF4DF">
            <w:pPr>
              <w:spacing w:line="380" w:lineRule="exact"/>
              <w:ind w:firstLine="560"/>
              <w:jc w:val="center"/>
              <w:rPr>
                <w:rFonts w:ascii="华文中宋" w:hAnsi="华文中宋" w:eastAsia="华文中宋"/>
                <w:color w:val="000000"/>
                <w:sz w:val="24"/>
                <w:szCs w:val="24"/>
              </w:rPr>
            </w:pPr>
          </w:p>
        </w:tc>
        <w:tc>
          <w:tcPr>
            <w:tcW w:w="1960" w:type="dxa"/>
            <w:gridSpan w:val="2"/>
            <w:tcBorders>
              <w:tl2br w:val="nil"/>
              <w:tr2bl w:val="nil"/>
            </w:tcBorders>
            <w:vAlign w:val="center"/>
          </w:tcPr>
          <w:p w14:paraId="0FE0B5D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rPr>
                <w:rFonts w:ascii="仿宋" w:hAnsi="仿宋" w:eastAsia="仿宋" w:cs="仿宋"/>
                <w:color w:val="000000"/>
                <w:sz w:val="24"/>
                <w:szCs w:val="24"/>
              </w:rPr>
            </w:pP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92" w:type="dxa"/>
            <w:tcBorders>
              <w:tl2br w:val="nil"/>
              <w:tr2bl w:val="nil"/>
            </w:tcBorders>
            <w:vAlign w:val="center"/>
          </w:tcPr>
          <w:p w14:paraId="39E259F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587" w:type="dxa"/>
            <w:gridSpan w:val="4"/>
            <w:tcBorders>
              <w:tl2br w:val="nil"/>
              <w:tr2bl w:val="nil"/>
            </w:tcBorders>
            <w:vAlign w:val="center"/>
          </w:tcPr>
          <w:p w14:paraId="38DFBEB6">
            <w:pPr>
              <w:spacing w:line="240" w:lineRule="exact"/>
              <w:rPr>
                <w:rFonts w:ascii="仿宋" w:hAnsi="仿宋" w:eastAsia="仿宋" w:cs="仿宋"/>
                <w:color w:val="000000"/>
                <w:sz w:val="24"/>
                <w:szCs w:val="24"/>
              </w:rPr>
            </w:pPr>
            <w:r>
              <w:rPr>
                <w:rFonts w:hint="eastAsia" w:ascii="仿宋" w:hAnsi="仿宋" w:eastAsia="仿宋" w:cs="仿宋"/>
                <w:color w:val="000000"/>
                <w:sz w:val="24"/>
                <w:szCs w:val="24"/>
              </w:rPr>
              <w:t>集体（孙梦醒、刘洋、任黎明、沈洁、董建云、陈敏、沈淑、</w:t>
            </w:r>
          </w:p>
          <w:p w14:paraId="7453BB5E">
            <w:pPr>
              <w:spacing w:line="240" w:lineRule="exact"/>
              <w:rPr>
                <w:rFonts w:ascii="华文中宋" w:hAnsi="华文中宋" w:eastAsia="华文中宋"/>
                <w:color w:val="000000"/>
                <w:sz w:val="24"/>
                <w:szCs w:val="24"/>
              </w:rPr>
            </w:pPr>
            <w:r>
              <w:rPr>
                <w:rFonts w:hint="eastAsia" w:ascii="仿宋" w:hAnsi="仿宋" w:eastAsia="仿宋" w:cs="仿宋"/>
                <w:color w:val="000000"/>
                <w:sz w:val="24"/>
                <w:szCs w:val="24"/>
              </w:rPr>
              <w:t>顾燕、徐子杰、李珊珊、冯诗雨、沈亦洋、张泽宇、钱龙、李敏、李燕、陶子阳）</w:t>
            </w:r>
          </w:p>
        </w:tc>
        <w:tc>
          <w:tcPr>
            <w:tcW w:w="1960" w:type="dxa"/>
            <w:gridSpan w:val="2"/>
            <w:tcBorders>
              <w:tl2br w:val="nil"/>
              <w:tr2bl w:val="nil"/>
            </w:tcBorders>
            <w:vAlign w:val="center"/>
          </w:tcPr>
          <w:p w14:paraId="4B47EE1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rPr>
                <w:rFonts w:ascii="仿宋" w:hAnsi="仿宋" w:eastAsia="仿宋" w:cs="仿宋"/>
                <w:color w:val="000000"/>
                <w:sz w:val="24"/>
                <w:szCs w:val="24"/>
              </w:rPr>
            </w:pPr>
            <w:r>
              <w:rPr>
                <w:rFonts w:hint="eastAsia" w:ascii="仿宋" w:hAnsi="仿宋" w:eastAsia="仿宋" w:cs="仿宋"/>
                <w:color w:val="000000"/>
                <w:sz w:val="24"/>
                <w:szCs w:val="24"/>
              </w:rPr>
              <w:t>集体（祁朝晖、沈玲、李超、荀思洁、徐蕾、李忠影、冯威、刘洋）</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7" w:hRule="atLeast"/>
        </w:trPr>
        <w:tc>
          <w:tcPr>
            <w:tcW w:w="992" w:type="dxa"/>
            <w:tcBorders>
              <w:tl2br w:val="nil"/>
              <w:tr2bl w:val="nil"/>
            </w:tcBorders>
            <w:vAlign w:val="center"/>
          </w:tcPr>
          <w:p w14:paraId="1D26F7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587" w:type="dxa"/>
            <w:gridSpan w:val="4"/>
            <w:tcBorders>
              <w:tl2br w:val="nil"/>
              <w:tr2bl w:val="nil"/>
            </w:tcBorders>
            <w:vAlign w:val="center"/>
          </w:tcPr>
          <w:p w14:paraId="56031904">
            <w:pPr>
              <w:spacing w:line="260" w:lineRule="exact"/>
              <w:ind w:firstLine="228" w:firstLineChars="100"/>
              <w:rPr>
                <w:rFonts w:ascii="仿宋" w:hAnsi="仿宋" w:eastAsia="仿宋" w:cs="仿宋"/>
                <w:color w:val="000000"/>
                <w:spacing w:val="-6"/>
                <w:sz w:val="24"/>
                <w:szCs w:val="24"/>
              </w:rPr>
            </w:pPr>
            <w:r>
              <w:rPr>
                <w:rFonts w:hint="eastAsia" w:ascii="仿宋" w:hAnsi="仿宋" w:eastAsia="仿宋" w:cs="仿宋"/>
                <w:color w:val="000000"/>
                <w:spacing w:val="-6"/>
                <w:sz w:val="24"/>
                <w:szCs w:val="24"/>
              </w:rPr>
              <w:t>张家港市融媒体中心</w:t>
            </w:r>
          </w:p>
          <w:p w14:paraId="7DC613EE">
            <w:pPr>
              <w:spacing w:line="260" w:lineRule="exact"/>
              <w:ind w:firstLine="228" w:firstLineChars="100"/>
              <w:rPr>
                <w:rFonts w:ascii="仿宋" w:hAnsi="仿宋" w:eastAsia="仿宋" w:cs="仿宋"/>
                <w:color w:val="000000"/>
                <w:spacing w:val="-6"/>
                <w:sz w:val="24"/>
                <w:szCs w:val="24"/>
              </w:rPr>
            </w:pPr>
            <w:r>
              <w:rPr>
                <w:rFonts w:hint="eastAsia" w:ascii="仿宋" w:hAnsi="仿宋" w:eastAsia="仿宋" w:cs="仿宋"/>
                <w:color w:val="000000"/>
                <w:spacing w:val="-6"/>
                <w:sz w:val="24"/>
                <w:szCs w:val="24"/>
              </w:rPr>
              <w:t>山西广播电视台</w:t>
            </w:r>
          </w:p>
          <w:p w14:paraId="4FE392EE">
            <w:pPr>
              <w:spacing w:line="260" w:lineRule="exact"/>
              <w:ind w:firstLine="228" w:firstLineChars="100"/>
              <w:rPr>
                <w:rFonts w:ascii="仿宋" w:hAnsi="仿宋" w:eastAsia="仿宋" w:cs="仿宋"/>
                <w:color w:val="000000"/>
                <w:spacing w:val="-6"/>
                <w:sz w:val="24"/>
                <w:szCs w:val="24"/>
              </w:rPr>
            </w:pPr>
            <w:r>
              <w:rPr>
                <w:rFonts w:hint="eastAsia" w:ascii="仿宋" w:hAnsi="仿宋" w:eastAsia="仿宋" w:cs="仿宋"/>
                <w:color w:val="000000"/>
                <w:spacing w:val="-6"/>
                <w:sz w:val="24"/>
                <w:szCs w:val="24"/>
              </w:rPr>
              <w:t>苏州市广播电视总台</w:t>
            </w:r>
          </w:p>
          <w:p w14:paraId="4A51632B">
            <w:pPr>
              <w:spacing w:line="260" w:lineRule="exact"/>
              <w:ind w:firstLine="228" w:firstLineChars="100"/>
              <w:rPr>
                <w:rFonts w:ascii="方正仿宋_GB2312" w:hAnsi="仿宋"/>
                <w:color w:val="000000"/>
                <w:sz w:val="24"/>
                <w:szCs w:val="24"/>
              </w:rPr>
            </w:pPr>
            <w:r>
              <w:rPr>
                <w:rFonts w:hint="eastAsia" w:ascii="仿宋" w:hAnsi="仿宋" w:eastAsia="仿宋" w:cs="仿宋"/>
                <w:color w:val="000000"/>
                <w:spacing w:val="-6"/>
                <w:sz w:val="24"/>
                <w:szCs w:val="24"/>
              </w:rPr>
              <w:t>湖州市新闻传媒中心</w:t>
            </w:r>
          </w:p>
        </w:tc>
        <w:tc>
          <w:tcPr>
            <w:tcW w:w="1960" w:type="dxa"/>
            <w:gridSpan w:val="2"/>
            <w:tcBorders>
              <w:tl2br w:val="nil"/>
              <w:tr2bl w:val="nil"/>
            </w:tcBorders>
            <w:vAlign w:val="center"/>
          </w:tcPr>
          <w:p w14:paraId="1916C51B">
            <w:pPr>
              <w:spacing w:line="260" w:lineRule="exact"/>
              <w:rPr>
                <w:rFonts w:ascii="华文中宋" w:hAnsi="华文中宋" w:eastAsia="华文中宋"/>
                <w:color w:val="000000" w:themeColor="text1"/>
                <w:sz w:val="24"/>
                <w:szCs w:val="36"/>
                <w14:textFill>
                  <w14:solidFill>
                    <w14:schemeClr w14:val="tx1"/>
                  </w14:solidFill>
                </w14:textFill>
              </w:rPr>
            </w:pPr>
            <w:r>
              <w:rPr>
                <w:rFonts w:hint="eastAsia" w:ascii="华文中宋" w:hAnsi="华文中宋" w:eastAsia="华文中宋"/>
                <w:color w:val="000000" w:themeColor="text1"/>
                <w:sz w:val="24"/>
                <w:szCs w:val="36"/>
                <w14:textFill>
                  <w14:solidFill>
                    <w14:schemeClr w14:val="tx1"/>
                  </w14:solidFill>
                </w14:textFill>
              </w:rPr>
              <w:t>发布端/账号/</w:t>
            </w:r>
          </w:p>
          <w:p w14:paraId="7B62230C">
            <w:pPr>
              <w:spacing w:line="260" w:lineRule="exact"/>
              <w:rPr>
                <w:rFonts w:ascii="方正仿宋_GB2312" w:hAnsi="仿宋"/>
                <w:color w:val="000000" w:themeColor="text1"/>
                <w:sz w:val="28"/>
                <w:szCs w:val="40"/>
                <w:highlight w:val="green"/>
                <w14:textFill>
                  <w14:solidFill>
                    <w14:schemeClr w14:val="tx1"/>
                  </w14:solidFill>
                </w14:textFill>
              </w:rPr>
            </w:pPr>
            <w:r>
              <w:rPr>
                <w:rFonts w:hint="eastAsia" w:ascii="华文中宋" w:hAnsi="华文中宋" w:eastAsia="华文中宋"/>
                <w:color w:val="000000" w:themeColor="text1"/>
                <w:sz w:val="24"/>
                <w:szCs w:val="36"/>
                <w14:textFill>
                  <w14:solidFill>
                    <w14:schemeClr w14:val="tx1"/>
                  </w14:solidFill>
                </w14:textFill>
              </w:rPr>
              <w:t>媒体名称</w:t>
            </w:r>
          </w:p>
        </w:tc>
        <w:tc>
          <w:tcPr>
            <w:tcW w:w="3274" w:type="dxa"/>
            <w:gridSpan w:val="3"/>
            <w:tcBorders>
              <w:tl2br w:val="nil"/>
              <w:tr2bl w:val="nil"/>
            </w:tcBorders>
            <w:vAlign w:val="center"/>
          </w:tcPr>
          <w:p w14:paraId="1B3ABACD">
            <w:pPr>
              <w:spacing w:line="240" w:lineRule="exact"/>
              <w:jc w:val="left"/>
              <w:rPr>
                <w:rFonts w:ascii="仿宋" w:hAnsi="仿宋" w:eastAsia="仿宋" w:cs="仿宋"/>
                <w:color w:val="000000" w:themeColor="text1"/>
                <w:sz w:val="24"/>
                <w:szCs w:val="24"/>
                <w14:textFill>
                  <w14:solidFill>
                    <w14:schemeClr w14:val="tx1"/>
                  </w14:solidFill>
                </w14:textFill>
              </w:rPr>
            </w:pPr>
            <w:bookmarkStart w:id="0" w:name="OLE_LINK1"/>
            <w:bookmarkStart w:id="1" w:name="OLE_LINK2"/>
            <w:r>
              <w:rPr>
                <w:rFonts w:hint="eastAsia" w:ascii="仿宋" w:hAnsi="仿宋" w:eastAsia="仿宋" w:cs="仿宋"/>
                <w:color w:val="000000" w:themeColor="text1"/>
                <w:sz w:val="24"/>
                <w:szCs w:val="24"/>
                <w14:textFill>
                  <w14:solidFill>
                    <w14:schemeClr w14:val="tx1"/>
                  </w14:solidFill>
                </w14:textFill>
              </w:rPr>
              <w:t>“今日张家港”APP</w:t>
            </w:r>
            <w:bookmarkEnd w:id="0"/>
            <w:bookmarkEnd w:id="1"/>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7" w:hRule="exact"/>
        </w:trPr>
        <w:tc>
          <w:tcPr>
            <w:tcW w:w="1504" w:type="dxa"/>
            <w:gridSpan w:val="2"/>
            <w:tcBorders>
              <w:tl2br w:val="nil"/>
              <w:tr2bl w:val="nil"/>
            </w:tcBorders>
            <w:vAlign w:val="center"/>
          </w:tcPr>
          <w:p w14:paraId="04B8C04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075" w:type="dxa"/>
            <w:gridSpan w:val="3"/>
            <w:tcBorders>
              <w:tl2br w:val="nil"/>
              <w:tr2bl w:val="nil"/>
            </w:tcBorders>
            <w:vAlign w:val="center"/>
          </w:tcPr>
          <w:p w14:paraId="06FC5C4D">
            <w:pPr>
              <w:spacing w:line="260" w:lineRule="exact"/>
              <w:rPr>
                <w:rFonts w:ascii="方正仿宋_GB2312" w:hAnsi="仿宋"/>
                <w:color w:val="000000"/>
                <w:szCs w:val="21"/>
              </w:rPr>
            </w:pPr>
          </w:p>
        </w:tc>
        <w:tc>
          <w:tcPr>
            <w:tcW w:w="1013" w:type="dxa"/>
            <w:tcBorders>
              <w:tl2br w:val="nil"/>
              <w:tr2bl w:val="nil"/>
            </w:tcBorders>
            <w:vAlign w:val="center"/>
          </w:tcPr>
          <w:p w14:paraId="1A6D9E8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color w:val="000000"/>
                <w:sz w:val="21"/>
                <w:szCs w:val="15"/>
              </w:rPr>
              <w:t>2025年1</w:t>
            </w:r>
            <w:r>
              <w:rPr>
                <w:rFonts w:ascii="仿宋" w:hAnsi="仿宋" w:eastAsia="仿宋" w:cs="仿宋"/>
                <w:color w:val="000000"/>
                <w:sz w:val="21"/>
                <w:szCs w:val="15"/>
              </w:rPr>
              <w:t>1</w:t>
            </w:r>
            <w:r>
              <w:rPr>
                <w:rFonts w:hint="eastAsia" w:ascii="仿宋" w:hAnsi="仿宋" w:eastAsia="仿宋" w:cs="仿宋"/>
                <w:color w:val="000000"/>
                <w:sz w:val="21"/>
                <w:szCs w:val="15"/>
              </w:rPr>
              <w:t>月8日1</w:t>
            </w:r>
            <w:r>
              <w:rPr>
                <w:rFonts w:ascii="仿宋" w:hAnsi="仿宋" w:eastAsia="仿宋" w:cs="仿宋"/>
                <w:color w:val="000000"/>
                <w:sz w:val="21"/>
                <w:szCs w:val="15"/>
              </w:rPr>
              <w:t>8</w:t>
            </w:r>
            <w:r>
              <w:rPr>
                <w:rFonts w:hint="eastAsia" w:ascii="仿宋" w:hAnsi="仿宋" w:eastAsia="仿宋" w:cs="仿宋"/>
                <w:color w:val="000000"/>
                <w:sz w:val="21"/>
                <w:szCs w:val="15"/>
              </w:rPr>
              <w:t>时3</w:t>
            </w:r>
            <w:r>
              <w:rPr>
                <w:rFonts w:ascii="仿宋" w:hAnsi="仿宋" w:eastAsia="仿宋" w:cs="仿宋"/>
                <w:color w:val="000000"/>
                <w:sz w:val="21"/>
                <w:szCs w:val="15"/>
              </w:rPr>
              <w:t>0</w:t>
            </w:r>
            <w:r>
              <w:rPr>
                <w:rFonts w:hint="eastAsia" w:ascii="仿宋" w:hAnsi="仿宋" w:eastAsia="仿宋" w:cs="仿宋"/>
                <w:color w:val="000000"/>
                <w:sz w:val="21"/>
                <w:szCs w:val="15"/>
              </w:rPr>
              <w:t>分</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5" w:hRule="atLeast"/>
        </w:trPr>
        <w:tc>
          <w:tcPr>
            <w:tcW w:w="1504" w:type="dxa"/>
            <w:gridSpan w:val="2"/>
            <w:tcBorders>
              <w:tl2br w:val="nil"/>
              <w:tr2bl w:val="nil"/>
            </w:tcBorders>
            <w:vAlign w:val="center"/>
          </w:tcPr>
          <w:p w14:paraId="2FC99FA4">
            <w:pPr>
              <w:spacing w:line="320" w:lineRule="exact"/>
              <w:jc w:val="center"/>
              <w:rPr>
                <w:rFonts w:ascii="华文中宋" w:hAnsi="华文中宋" w:eastAsia="华文中宋"/>
                <w:color w:val="000000" w:themeColor="text1"/>
                <w:sz w:val="24"/>
                <w:szCs w:val="21"/>
                <w14:textFill>
                  <w14:solidFill>
                    <w14:schemeClr w14:val="tx1"/>
                  </w14:solidFill>
                </w14:textFill>
              </w:rPr>
            </w:pPr>
            <w:r>
              <w:rPr>
                <w:rFonts w:hint="eastAsia" w:ascii="华文中宋" w:hAnsi="华文中宋" w:eastAsia="华文中宋"/>
                <w:color w:val="000000" w:themeColor="text1"/>
                <w:sz w:val="24"/>
                <w:szCs w:val="21"/>
                <w14:textFill>
                  <w14:solidFill>
                    <w14:schemeClr w14:val="tx1"/>
                  </w14:solidFill>
                </w14:textFill>
              </w:rPr>
              <w:t>新媒体</w:t>
            </w:r>
            <w:r>
              <w:rPr>
                <w:rFonts w:ascii="华文中宋" w:hAnsi="华文中宋" w:eastAsia="华文中宋"/>
                <w:color w:val="000000" w:themeColor="text1"/>
                <w:sz w:val="24"/>
                <w:szCs w:val="21"/>
                <w14:textFill>
                  <w14:solidFill>
                    <w14:schemeClr w14:val="tx1"/>
                  </w14:solidFill>
                </w14:textFill>
              </w:rPr>
              <w:t>作品</w:t>
            </w:r>
          </w:p>
          <w:p w14:paraId="32F6A552">
            <w:pPr>
              <w:spacing w:line="320" w:lineRule="exact"/>
              <w:jc w:val="center"/>
              <w:rPr>
                <w:rFonts w:ascii="方正仿宋_GB2312" w:hAnsi="仿宋" w:eastAsia="华文中宋"/>
                <w:color w:val="000000" w:themeColor="text1"/>
                <w:szCs w:val="21"/>
                <w14:textFill>
                  <w14:solidFill>
                    <w14:schemeClr w14:val="tx1"/>
                  </w14:solidFill>
                </w14:textFill>
              </w:rPr>
            </w:pPr>
            <w:r>
              <w:rPr>
                <w:rFonts w:hint="eastAsia" w:ascii="华文中宋" w:hAnsi="华文中宋" w:eastAsia="华文中宋"/>
                <w:color w:val="000000" w:themeColor="text1"/>
                <w:sz w:val="24"/>
                <w:szCs w:val="21"/>
                <w14:textFill>
                  <w14:solidFill>
                    <w14:schemeClr w14:val="tx1"/>
                  </w14:solidFill>
                </w14:textFill>
              </w:rPr>
              <w:t>链接</w:t>
            </w:r>
          </w:p>
        </w:tc>
        <w:tc>
          <w:tcPr>
            <w:tcW w:w="5035" w:type="dxa"/>
            <w:gridSpan w:val="5"/>
            <w:tcBorders>
              <w:tl2br w:val="nil"/>
              <w:tr2bl w:val="nil"/>
            </w:tcBorders>
            <w:vAlign w:val="center"/>
          </w:tcPr>
          <w:p w14:paraId="78E7ED31">
            <w:pPr>
              <w:spacing w:line="260" w:lineRule="exact"/>
              <w:rPr>
                <w:rFonts w:ascii="仿宋" w:hAnsi="仿宋" w:eastAsia="仿宋"/>
                <w:color w:val="000000" w:themeColor="text1"/>
                <w:sz w:val="24"/>
                <w:szCs w:val="24"/>
                <w14:textFill>
                  <w14:solidFill>
                    <w14:schemeClr w14:val="tx1"/>
                  </w14:solidFill>
                </w14:textFill>
              </w:rPr>
            </w:pPr>
            <w:r>
              <w:rPr>
                <w:rFonts w:ascii="仿宋" w:hAnsi="仿宋" w:eastAsia="仿宋"/>
                <w:color w:val="000000" w:themeColor="text1"/>
                <w:sz w:val="24"/>
                <w:szCs w:val="24"/>
                <w14:textFill>
                  <w14:solidFill>
                    <w14:schemeClr w14:val="tx1"/>
                  </w14:solidFill>
                </w14:textFill>
              </w:rPr>
              <w:t>http://jrwx.zjgonline.com.cn/ysz_share/video/detail_index.html?contentType=9&amp;contentId=546807&amp;deviceId=web_1755079998043_wv1ktwc52&amp;clientSide=1</w:t>
            </w:r>
          </w:p>
        </w:tc>
        <w:tc>
          <w:tcPr>
            <w:tcW w:w="1742" w:type="dxa"/>
            <w:gridSpan w:val="2"/>
            <w:tcBorders>
              <w:tl2br w:val="nil"/>
              <w:tr2bl w:val="nil"/>
            </w:tcBorders>
            <w:vAlign w:val="center"/>
          </w:tcPr>
          <w:p w14:paraId="79A0CB2B">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ind w:firstLine="240" w:firstLineChars="100"/>
              <w:rPr>
                <w:rFonts w:ascii="仿宋" w:hAnsi="仿宋" w:eastAsia="仿宋"/>
                <w:color w:val="000000"/>
                <w:sz w:val="24"/>
                <w:szCs w:val="24"/>
              </w:rPr>
            </w:pPr>
            <w:r>
              <w:rPr>
                <w:rFonts w:hint="eastAsia" w:ascii="仿宋" w:hAnsi="仿宋" w:eastAsia="仿宋"/>
                <w:color w:val="000000"/>
                <w:sz w:val="24"/>
                <w:szCs w:val="24"/>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5" w:hRule="atLeast"/>
        </w:trPr>
        <w:tc>
          <w:tcPr>
            <w:tcW w:w="992" w:type="dxa"/>
            <w:tcBorders>
              <w:tl2br w:val="nil"/>
              <w:tr2bl w:val="nil"/>
            </w:tcBorders>
            <w:vAlign w:val="center"/>
          </w:tcPr>
          <w:p w14:paraId="3869C9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14:paraId="3C1A473A">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党的二十届四中全会为我国“十五五”发展绘就了宏伟蓝图，也为加快农业农村现代化，推进乡村全面振兴吹响了新号角。2025年11月初，山西大寨村的郭凤莲、江苏永联村的吴惠芳、浙江余村的汪玉成，</w:t>
            </w:r>
            <w:r>
              <w:rPr>
                <w:rFonts w:ascii="仿宋" w:hAnsi="仿宋" w:eastAsia="仿宋" w:cs="仿宋"/>
                <w:color w:val="000000"/>
                <w:sz w:val="24"/>
                <w:szCs w:val="24"/>
              </w:rPr>
              <w:t>三位在我国农村发展道路上不同时期、不同地域的</w:t>
            </w:r>
            <w:r>
              <w:rPr>
                <w:rFonts w:hint="eastAsia" w:ascii="仿宋" w:hAnsi="仿宋" w:eastAsia="仿宋" w:cs="仿宋"/>
                <w:color w:val="000000"/>
                <w:sz w:val="24"/>
                <w:szCs w:val="24"/>
              </w:rPr>
              <w:t>基层</w:t>
            </w:r>
            <w:r>
              <w:rPr>
                <w:rFonts w:ascii="仿宋" w:hAnsi="仿宋" w:eastAsia="仿宋" w:cs="仿宋"/>
                <w:color w:val="000000"/>
                <w:sz w:val="24"/>
                <w:szCs w:val="24"/>
              </w:rPr>
              <w:t>领头人</w:t>
            </w:r>
            <w:r>
              <w:rPr>
                <w:rFonts w:hint="eastAsia" w:ascii="仿宋" w:hAnsi="仿宋" w:eastAsia="仿宋" w:cs="仿宋"/>
                <w:color w:val="000000"/>
                <w:sz w:val="24"/>
                <w:szCs w:val="24"/>
              </w:rPr>
              <w:t>一起</w:t>
            </w:r>
            <w:r>
              <w:rPr>
                <w:rFonts w:ascii="仿宋" w:hAnsi="仿宋" w:eastAsia="仿宋" w:cs="仿宋"/>
                <w:color w:val="000000"/>
                <w:sz w:val="24"/>
                <w:szCs w:val="24"/>
              </w:rPr>
              <w:t>踏上了他们的赴约之</w:t>
            </w:r>
            <w:r>
              <w:rPr>
                <w:rFonts w:hint="eastAsia" w:ascii="仿宋" w:hAnsi="仿宋" w:eastAsia="仿宋" w:cs="仿宋"/>
                <w:color w:val="000000"/>
                <w:sz w:val="24"/>
                <w:szCs w:val="24"/>
              </w:rPr>
              <w:t>行</w:t>
            </w:r>
            <w:r>
              <w:rPr>
                <w:rFonts w:ascii="仿宋" w:hAnsi="仿宋" w:eastAsia="仿宋" w:cs="仿宋"/>
                <w:color w:val="000000"/>
                <w:sz w:val="24"/>
                <w:szCs w:val="24"/>
              </w:rPr>
              <w:t>。</w:t>
            </w:r>
            <w:r>
              <w:rPr>
                <w:rFonts w:hint="eastAsia" w:ascii="仿宋" w:hAnsi="仿宋" w:eastAsia="仿宋" w:cs="仿宋"/>
                <w:color w:val="000000"/>
                <w:sz w:val="24"/>
                <w:szCs w:val="24"/>
              </w:rPr>
              <w:t>原来，8个月前，2025年全国两会上，他们相约要到对方村里去学习。此次，就是要在这条相互借鉴的赴约路上，用脚步丈量、用智慧碰撞，共同为中国农业农村现代化的新征程解码破题。这不仅是一场农村基层带头人间的对话，更是一次关乎中国乡村过去、现在与未来的深度对话。</w:t>
            </w:r>
          </w:p>
          <w:p w14:paraId="755233F1">
            <w:pPr>
              <w:ind w:firstLine="480" w:firstLineChars="200"/>
              <w:rPr>
                <w:rFonts w:ascii="仿宋" w:hAnsi="仿宋" w:eastAsia="仿宋"/>
                <w:color w:val="000000"/>
                <w:w w:val="95"/>
                <w:sz w:val="24"/>
                <w:szCs w:val="24"/>
              </w:rPr>
            </w:pPr>
            <w:r>
              <w:rPr>
                <w:rFonts w:hint="eastAsia" w:ascii="仿宋" w:hAnsi="仿宋" w:eastAsia="仿宋" w:cs="仿宋"/>
                <w:color w:val="000000"/>
                <w:sz w:val="24"/>
                <w:szCs w:val="24"/>
              </w:rPr>
              <w:t>作品由省、市、县三级媒体联合共创、全程跟拍，生动记录了村书记们赴约之行中对“乡村全面振兴”的思考与交流碰撞。作品在山西、江苏、浙江三地的省市县主流媒体全网推送，央视新闻、人民视频、学习强国等平台转载，山西省人民政府、浙江人大、江苏新闻、江苏记协等官方账号全程关注并转发，全网阅读量超3000万。报道还促成了实质性合作落地。在浙江余村，建立了中国和美乡村共富联盟，首推共富超市。在江苏永联，全国多名村书记共话发展，建立长期机制，推动人才、项目等资源共享，为跨区域乡村振兴合作搭建平台。</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14:paraId="0B930050">
            <w:pPr>
              <w:jc w:val="center"/>
              <w:rPr>
                <w:rFonts w:ascii="楷体" w:hAnsi="楷体" w:eastAsia="楷体" w:cs="楷体"/>
                <w:b/>
                <w:bCs/>
                <w:color w:val="000000" w:themeColor="text1"/>
                <w:sz w:val="24"/>
                <w:szCs w:val="18"/>
                <w14:textFill>
                  <w14:solidFill>
                    <w14:schemeClr w14:val="tx1"/>
                  </w14:solidFill>
                </w14:textFill>
              </w:rPr>
            </w:pPr>
            <w:r>
              <w:rPr>
                <w:rFonts w:hint="eastAsia" w:ascii="楷体" w:hAnsi="楷体" w:eastAsia="楷体" w:cs="楷体"/>
                <w:b/>
                <w:bCs/>
                <w:color w:val="000000" w:themeColor="text1"/>
                <w:spacing w:val="-10"/>
                <w:sz w:val="24"/>
                <w:szCs w:val="18"/>
                <w14:textFill>
                  <w14:solidFill>
                    <w14:schemeClr w14:val="tx1"/>
                  </w14:solidFill>
                </w14:textFill>
              </w:rPr>
              <w:t>全网传播量最高</w:t>
            </w:r>
            <w:r>
              <w:rPr>
                <w:rFonts w:hint="eastAsia" w:ascii="楷体" w:hAnsi="楷体" w:eastAsia="楷体" w:cs="楷体"/>
                <w:b/>
                <w:bCs/>
                <w:color w:val="000000" w:themeColor="text1"/>
                <w:sz w:val="24"/>
                <w:szCs w:val="18"/>
                <w14:textFill>
                  <w14:solidFill>
                    <w14:schemeClr w14:val="tx1"/>
                  </w14:solidFill>
                </w14:textFill>
              </w:rPr>
              <w:t>平台</w:t>
            </w:r>
          </w:p>
          <w:p w14:paraId="436EEDCF">
            <w:pPr>
              <w:jc w:val="center"/>
              <w:rPr>
                <w:rFonts w:ascii="楷体" w:hAnsi="楷体" w:eastAsia="楷体" w:cs="楷体"/>
                <w:b/>
                <w:bCs/>
                <w:color w:val="000000" w:themeColor="text1"/>
                <w:sz w:val="24"/>
                <w:szCs w:val="18"/>
                <w14:textFill>
                  <w14:solidFill>
                    <w14:schemeClr w14:val="tx1"/>
                  </w14:solidFill>
                </w14:textFill>
              </w:rPr>
            </w:pPr>
            <w:r>
              <w:rPr>
                <w:rFonts w:hint="eastAsia" w:ascii="楷体" w:hAnsi="楷体" w:eastAsia="楷体" w:cs="楷体"/>
                <w:b/>
                <w:bCs/>
                <w:color w:val="000000" w:themeColor="text1"/>
                <w:sz w:val="24"/>
                <w:szCs w:val="18"/>
                <w14:textFill>
                  <w14:solidFill>
                    <w14:schemeClr w14:val="tx1"/>
                  </w14:solidFill>
                </w14:textFill>
              </w:rPr>
              <w:t>发布链接</w:t>
            </w:r>
          </w:p>
        </w:tc>
        <w:tc>
          <w:tcPr>
            <w:tcW w:w="7421" w:type="dxa"/>
            <w:gridSpan w:val="7"/>
            <w:tcBorders>
              <w:tl2br w:val="nil"/>
              <w:tr2bl w:val="nil"/>
            </w:tcBorders>
            <w:vAlign w:val="center"/>
          </w:tcPr>
          <w:p w14:paraId="10EAC8E2">
            <w:pPr>
              <w:spacing w:line="280" w:lineRule="exact"/>
              <w:rPr>
                <w:rFonts w:ascii="仿宋" w:hAnsi="仿宋" w:eastAsia="仿宋"/>
                <w:color w:val="000000" w:themeColor="text1"/>
                <w:sz w:val="24"/>
                <w:szCs w:val="24"/>
                <w14:textFill>
                  <w14:solidFill>
                    <w14:schemeClr w14:val="tx1"/>
                  </w14:solidFill>
                </w14:textFill>
              </w:rPr>
            </w:pPr>
            <w:r>
              <w:rPr>
                <w:rFonts w:ascii="仿宋" w:hAnsi="仿宋" w:eastAsia="仿宋"/>
                <w:color w:val="000000" w:themeColor="text1"/>
                <w:sz w:val="24"/>
                <w:szCs w:val="24"/>
                <w14:textFill>
                  <w14:solidFill>
                    <w14:schemeClr w14:val="tx1"/>
                  </w14:solidFill>
                </w14:textFill>
              </w:rPr>
              <w:t>https://weibo.com/6380644334/5230777866394121</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ascii="楷体" w:hAnsi="楷体" w:eastAsia="楷体" w:cs="楷体"/>
                <w:b/>
                <w:bCs/>
                <w:color w:val="000000" w:themeColor="text1"/>
                <w:sz w:val="21"/>
                <w:szCs w:val="21"/>
                <w14:textFill>
                  <w14:solidFill>
                    <w14:schemeClr w14:val="tx1"/>
                  </w14:solidFill>
                </w14:textFill>
              </w:rPr>
            </w:pPr>
            <w:r>
              <w:rPr>
                <w:rFonts w:hint="eastAsia" w:ascii="楷体" w:hAnsi="楷体" w:eastAsia="楷体" w:cs="楷体"/>
                <w:b/>
                <w:bCs/>
                <w:color w:val="000000" w:themeColor="text1"/>
                <w:sz w:val="21"/>
                <w:szCs w:val="21"/>
                <w14:textFill>
                  <w14:solidFill>
                    <w14:schemeClr w14:val="tx1"/>
                  </w14:solidFill>
                </w14:textFill>
              </w:rPr>
              <w:t>该平台</w:t>
            </w:r>
          </w:p>
          <w:p w14:paraId="0CD586AA">
            <w:pPr>
              <w:spacing w:line="240" w:lineRule="exact"/>
              <w:jc w:val="center"/>
              <w:rPr>
                <w:rFonts w:ascii="仿宋" w:hAnsi="仿宋" w:eastAsia="楷体"/>
                <w:color w:val="000000" w:themeColor="text1"/>
                <w:sz w:val="21"/>
                <w:szCs w:val="21"/>
                <w14:textFill>
                  <w14:solidFill>
                    <w14:schemeClr w14:val="tx1"/>
                  </w14:solidFill>
                </w14:textFill>
              </w:rPr>
            </w:pPr>
            <w:r>
              <w:rPr>
                <w:rFonts w:hint="eastAsia" w:ascii="楷体" w:hAnsi="楷体" w:eastAsia="楷体" w:cs="楷体"/>
                <w:b/>
                <w:bCs/>
                <w:color w:val="000000" w:themeColor="text1"/>
                <w:sz w:val="21"/>
                <w:szCs w:val="21"/>
                <w14:textFill>
                  <w14:solidFill>
                    <w14:schemeClr w14:val="tx1"/>
                  </w14:solidFill>
                </w14:textFill>
              </w:rPr>
              <w:t>传播量</w:t>
            </w:r>
          </w:p>
        </w:tc>
        <w:tc>
          <w:tcPr>
            <w:tcW w:w="1323" w:type="dxa"/>
            <w:tcBorders>
              <w:tl2br w:val="nil"/>
              <w:tr2bl w:val="nil"/>
            </w:tcBorders>
            <w:shd w:val="clear" w:color="auto" w:fill="auto"/>
            <w:vAlign w:val="center"/>
          </w:tcPr>
          <w:p w14:paraId="769BF1DC">
            <w:pPr>
              <w:spacing w:line="240" w:lineRule="exact"/>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超2150.6万</w:t>
            </w:r>
          </w:p>
        </w:tc>
        <w:tc>
          <w:tcPr>
            <w:tcW w:w="864" w:type="dxa"/>
            <w:tcBorders>
              <w:tl2br w:val="nil"/>
              <w:tr2bl w:val="nil"/>
            </w:tcBorders>
            <w:shd w:val="clear" w:color="auto" w:fill="auto"/>
            <w:vAlign w:val="center"/>
          </w:tcPr>
          <w:p w14:paraId="40B3F7F4">
            <w:pPr>
              <w:spacing w:line="240" w:lineRule="exact"/>
              <w:jc w:val="center"/>
              <w:rPr>
                <w:rFonts w:ascii="楷体" w:hAnsi="楷体" w:eastAsia="楷体" w:cs="楷体"/>
                <w:b/>
                <w:bCs/>
                <w:color w:val="000000" w:themeColor="text1"/>
                <w:sz w:val="21"/>
                <w:szCs w:val="21"/>
                <w14:textFill>
                  <w14:solidFill>
                    <w14:schemeClr w14:val="tx1"/>
                  </w14:solidFill>
                </w14:textFill>
              </w:rPr>
            </w:pPr>
            <w:r>
              <w:rPr>
                <w:rFonts w:hint="eastAsia" w:ascii="楷体" w:hAnsi="楷体" w:eastAsia="楷体" w:cs="楷体"/>
                <w:b/>
                <w:bCs/>
                <w:color w:val="000000" w:themeColor="text1"/>
                <w:sz w:val="21"/>
                <w:szCs w:val="21"/>
                <w14:textFill>
                  <w14:solidFill>
                    <w14:schemeClr w14:val="tx1"/>
                  </w14:solidFill>
                </w14:textFill>
              </w:rPr>
              <w:t>该平台</w:t>
            </w:r>
          </w:p>
          <w:p w14:paraId="579A7769">
            <w:pPr>
              <w:spacing w:line="240" w:lineRule="exact"/>
              <w:jc w:val="center"/>
              <w:rPr>
                <w:rFonts w:ascii="仿宋" w:hAnsi="仿宋" w:eastAsia="仿宋"/>
                <w:color w:val="000000" w:themeColor="text1"/>
                <w:sz w:val="21"/>
                <w:szCs w:val="21"/>
                <w14:textFill>
                  <w14:solidFill>
                    <w14:schemeClr w14:val="tx1"/>
                  </w14:solidFill>
                </w14:textFill>
              </w:rPr>
            </w:pPr>
            <w:r>
              <w:rPr>
                <w:rFonts w:hint="eastAsia" w:ascii="楷体" w:hAnsi="楷体" w:eastAsia="楷体" w:cs="楷体"/>
                <w:b/>
                <w:bCs/>
                <w:color w:val="000000" w:themeColor="text1"/>
                <w:sz w:val="21"/>
                <w:szCs w:val="21"/>
                <w14:textFill>
                  <w14:solidFill>
                    <w14:schemeClr w14:val="tx1"/>
                  </w14:solidFill>
                </w14:textFill>
              </w:rPr>
              <w:t>互动量</w:t>
            </w:r>
          </w:p>
        </w:tc>
        <w:tc>
          <w:tcPr>
            <w:tcW w:w="2580" w:type="dxa"/>
            <w:gridSpan w:val="3"/>
            <w:tcBorders>
              <w:tl2br w:val="nil"/>
              <w:tr2bl w:val="nil"/>
            </w:tcBorders>
            <w:vAlign w:val="center"/>
          </w:tcPr>
          <w:p w14:paraId="5BE3E5F6">
            <w:pPr>
              <w:spacing w:line="240" w:lineRule="exact"/>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讨论量6233</w:t>
            </w:r>
          </w:p>
        </w:tc>
        <w:tc>
          <w:tcPr>
            <w:tcW w:w="1122" w:type="dxa"/>
            <w:tcBorders>
              <w:tl2br w:val="nil"/>
              <w:tr2bl w:val="nil"/>
            </w:tcBorders>
            <w:vAlign w:val="center"/>
          </w:tcPr>
          <w:p w14:paraId="50FA0102">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03DD5D6F">
            <w:pPr>
              <w:spacing w:line="240" w:lineRule="exact"/>
              <w:rPr>
                <w:rFonts w:ascii="仿宋" w:hAnsi="仿宋" w:eastAsia="仿宋"/>
                <w:color w:val="000000"/>
                <w:sz w:val="21"/>
                <w:szCs w:val="21"/>
              </w:rPr>
            </w:pPr>
            <w:r>
              <w:rPr>
                <w:rFonts w:hint="eastAsia" w:ascii="仿宋" w:hAnsi="仿宋" w:eastAsia="仿宋"/>
                <w:color w:val="000000"/>
                <w:sz w:val="21"/>
                <w:szCs w:val="21"/>
              </w:rPr>
              <w:t>3</w:t>
            </w:r>
            <w:r>
              <w:rPr>
                <w:rFonts w:ascii="仿宋" w:hAnsi="仿宋" w:eastAsia="仿宋"/>
                <w:color w:val="000000"/>
                <w:sz w:val="21"/>
                <w:szCs w:val="21"/>
              </w:rPr>
              <w:t>000</w:t>
            </w:r>
            <w:r>
              <w:rPr>
                <w:rFonts w:hint="eastAsia" w:ascii="仿宋" w:hAnsi="仿宋" w:eastAsia="仿宋"/>
                <w:color w:val="000000"/>
                <w:sz w:val="21"/>
                <w:szCs w:val="21"/>
              </w:rPr>
              <w:t>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6" w:hRule="exact"/>
        </w:trPr>
        <w:tc>
          <w:tcPr>
            <w:tcW w:w="992" w:type="dxa"/>
            <w:tcBorders>
              <w:tl2br w:val="nil"/>
              <w:tr2bl w:val="nil"/>
            </w:tcBorders>
            <w:vAlign w:val="center"/>
          </w:tcPr>
          <w:p w14:paraId="7C530D9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center"/>
          </w:tcPr>
          <w:p w14:paraId="18490571">
            <w:pPr>
              <w:ind w:firstLine="456" w:firstLineChars="200"/>
              <w:rPr>
                <w:rFonts w:ascii="仿宋" w:hAnsi="仿宋" w:eastAsia="仿宋"/>
                <w:color w:val="000000"/>
                <w:w w:val="95"/>
                <w:sz w:val="24"/>
                <w:szCs w:val="24"/>
              </w:rPr>
            </w:pPr>
          </w:p>
          <w:p w14:paraId="0072A712">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农业农村现代化关系着中国式现代化的全局和成色。</w:t>
            </w:r>
            <w:r>
              <w:rPr>
                <w:rFonts w:hint="eastAsia" w:ascii="仿宋" w:hAnsi="仿宋" w:eastAsia="仿宋"/>
                <w:color w:val="000000"/>
                <w:w w:val="95"/>
                <w:sz w:val="24"/>
                <w:szCs w:val="24"/>
              </w:rPr>
              <w:t xml:space="preserve">本作品紧扣党的二十届四中全会精神与“十五五”规划加快农业农村现代化的重大主题，以三位具有典型意义的村书记“履约互访”这一鲜活事件为切入点，将大寨、永联、余村三种发展模式的对照与思考融入具体的走访过程，小中见大，见微知著。这场约定的内涵，早已超越他们之间的“小约定”—— 它既是“绿水青山就是金山银山”理念提出 20 周年之际，乡村基层以绿色实践回应总书记殷殷期待的“大约定”，更延伸为中国东西南北中多位代表性村书记的共同赴约……跨越242天的约定，不仅回望 “十四五” 期间乡村振兴的坚实足迹，更聚焦当前发展的难点痛点，并共同展望“十五五”乃至更远，中国农业农村现代化的未来。 </w:t>
            </w:r>
          </w:p>
          <w:p w14:paraId="7556ED90">
            <w:pPr>
              <w:widowControl/>
              <w:ind w:firstLine="480" w:firstLineChars="200"/>
              <w:jc w:val="left"/>
              <w:rPr>
                <w:rFonts w:asciiTheme="minorEastAsia" w:hAnsiTheme="minorEastAsia" w:eastAsiaTheme="minorEastAsia"/>
                <w:kern w:val="0"/>
                <w:sz w:val="24"/>
              </w:rPr>
            </w:pPr>
            <w:r>
              <w:rPr>
                <w:rFonts w:hint="eastAsia" w:ascii="仿宋" w:hAnsi="仿宋" w:eastAsia="仿宋" w:cs="仿宋"/>
                <w:color w:val="000000"/>
                <w:sz w:val="24"/>
                <w:szCs w:val="24"/>
              </w:rPr>
              <w:t>作品通过全程跟拍的纪实手法，将走访中的真实感受与村书记间的坦诚交流原汁原味呈现，人物鲜活，细节饱满。该报道层层递进，展现了“约定”背后的思想内涵，深入探讨不同发展模式的典型意义、互鉴共进，以及扎实推进共同富裕等时代命题。作品主题重大、叙事鲜活，生动展现了我国乡村振兴基层实践的丰富多样与协同发展的崭新气象，具有很强的新闻感染力与社会引导力。</w:t>
            </w:r>
          </w:p>
          <w:p w14:paraId="023E02C2">
            <w:pPr>
              <w:spacing w:line="36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42C984D2">
            <w:pPr>
              <w:spacing w:line="360" w:lineRule="exact"/>
              <w:rPr>
                <w:rFonts w:ascii="华文中宋" w:hAnsi="华文中宋" w:eastAsia="华文中宋"/>
                <w:color w:val="000000"/>
                <w:spacing w:val="-2"/>
                <w:sz w:val="28"/>
              </w:rPr>
            </w:pPr>
          </w:p>
          <w:p w14:paraId="341ED2FB">
            <w:pPr>
              <w:spacing w:line="360" w:lineRule="exact"/>
              <w:rPr>
                <w:rFonts w:ascii="华文中宋" w:hAnsi="华文中宋" w:eastAsia="华文中宋"/>
                <w:color w:val="000000"/>
                <w:spacing w:val="-2"/>
                <w:sz w:val="28"/>
              </w:rPr>
            </w:pPr>
          </w:p>
          <w:p w14:paraId="3109BF00">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30942D31"/>
    <w:p w14:paraId="3928F65B"/>
    <w:p w14:paraId="08F532A3"/>
    <w:p w14:paraId="59505D43"/>
    <w:p w14:paraId="30CD8613"/>
    <w:p w14:paraId="4750DBD7"/>
    <w:p w14:paraId="54B31634">
      <w:pPr>
        <w:spacing w:line="520" w:lineRule="exact"/>
        <w:ind w:left="432" w:leftChars="135"/>
      </w:pPr>
    </w:p>
    <w:p w14:paraId="23AF938C">
      <w:pPr>
        <w:spacing w:line="520" w:lineRule="exact"/>
        <w:ind w:left="432" w:leftChars="135"/>
      </w:pPr>
    </w:p>
    <w:p w14:paraId="4B00AE15">
      <w:pPr>
        <w:spacing w:line="520" w:lineRule="exact"/>
        <w:ind w:left="432" w:leftChars="135"/>
      </w:pPr>
    </w:p>
    <w:p w14:paraId="053754BC">
      <w:pPr>
        <w:spacing w:line="520" w:lineRule="exact"/>
        <w:ind w:left="432" w:leftChars="135"/>
      </w:pPr>
    </w:p>
    <w:p w14:paraId="0555EB57">
      <w:pPr>
        <w:spacing w:line="520" w:lineRule="exact"/>
        <w:rPr>
          <w:rFonts w:ascii="仿宋" w:hAnsi="仿宋" w:eastAsia="仿宋"/>
          <w:b/>
          <w:szCs w:val="32"/>
        </w:rPr>
      </w:pPr>
      <w:r>
        <w:rPr>
          <w:rFonts w:hint="eastAsia" w:ascii="仿宋" w:hAnsi="仿宋" w:eastAsia="仿宋"/>
          <w:b/>
          <w:color w:val="000000" w:themeColor="text1"/>
          <w:szCs w:val="32"/>
          <w14:textFill>
            <w14:solidFill>
              <w14:schemeClr w14:val="tx1"/>
            </w14:solidFill>
          </w14:textFill>
        </w:rPr>
        <w:t>附：主要贡献人员名单</w:t>
      </w:r>
    </w:p>
    <w:p w14:paraId="4C321C15">
      <w:pPr>
        <w:spacing w:line="520" w:lineRule="exact"/>
        <w:ind w:left="432" w:leftChars="135"/>
        <w:rPr>
          <w:rFonts w:ascii="仿宋_GB2312" w:eastAsia="仿宋_GB2312"/>
          <w:b/>
          <w:szCs w:val="32"/>
        </w:rPr>
      </w:pPr>
    </w:p>
    <w:p w14:paraId="396C234D">
      <w:pPr>
        <w:spacing w:line="520" w:lineRule="exact"/>
        <w:rPr>
          <w:rFonts w:ascii="仿宋_GB2312" w:eastAsia="仿宋_GB2312"/>
          <w:b/>
          <w:sz w:val="28"/>
          <w:szCs w:val="28"/>
        </w:rPr>
      </w:pPr>
      <w:r>
        <w:rPr>
          <w:rFonts w:ascii="仿宋_GB2312" w:eastAsia="仿宋_GB2312"/>
          <w:b/>
          <w:sz w:val="28"/>
          <w:szCs w:val="28"/>
        </w:rPr>
        <w:t>编辑:</w:t>
      </w:r>
    </w:p>
    <w:p w14:paraId="04931A5E">
      <w:pPr>
        <w:spacing w:line="520" w:lineRule="exact"/>
        <w:rPr>
          <w:rFonts w:ascii="仿宋_GB2312" w:eastAsia="仿宋_GB2312"/>
          <w:sz w:val="28"/>
          <w:szCs w:val="28"/>
        </w:rPr>
      </w:pPr>
      <w:r>
        <w:rPr>
          <w:rFonts w:hint="eastAsia" w:ascii="仿宋_GB2312" w:eastAsia="仿宋_GB2312"/>
          <w:sz w:val="28"/>
          <w:szCs w:val="28"/>
        </w:rPr>
        <w:t>集体（</w:t>
      </w:r>
      <w:r>
        <w:rPr>
          <w:rFonts w:ascii="仿宋_GB2312" w:eastAsia="仿宋_GB2312"/>
          <w:sz w:val="28"/>
          <w:szCs w:val="28"/>
        </w:rPr>
        <w:t>祁朝晖、沈玲、李超、荀思洁、徐蕾、李忠影、冯威、刘洋</w:t>
      </w:r>
      <w:r>
        <w:rPr>
          <w:rFonts w:hint="eastAsia" w:ascii="仿宋_GB2312" w:eastAsia="仿宋_GB2312"/>
          <w:sz w:val="28"/>
          <w:szCs w:val="28"/>
        </w:rPr>
        <w:t>）</w:t>
      </w:r>
    </w:p>
    <w:p w14:paraId="1A673003">
      <w:pPr>
        <w:spacing w:line="520" w:lineRule="exact"/>
        <w:ind w:left="432" w:leftChars="135"/>
        <w:rPr>
          <w:rFonts w:ascii="仿宋_GB2312" w:eastAsia="仿宋_GB2312"/>
          <w:b/>
          <w:sz w:val="28"/>
          <w:szCs w:val="28"/>
        </w:rPr>
      </w:pPr>
    </w:p>
    <w:p w14:paraId="03A9AED9">
      <w:pPr>
        <w:spacing w:line="520" w:lineRule="exact"/>
        <w:rPr>
          <w:rFonts w:ascii="仿宋" w:hAnsi="仿宋" w:eastAsia="仿宋"/>
          <w:b/>
          <w:sz w:val="30"/>
          <w:szCs w:val="30"/>
        </w:rPr>
      </w:pPr>
      <w:r>
        <w:rPr>
          <w:rFonts w:hint="eastAsia" w:ascii="仿宋" w:hAnsi="仿宋" w:eastAsia="仿宋"/>
          <w:b/>
          <w:sz w:val="30"/>
          <w:szCs w:val="30"/>
        </w:rPr>
        <w:t>作者（主创人员）</w:t>
      </w:r>
      <w:r>
        <w:rPr>
          <w:rFonts w:ascii="仿宋" w:hAnsi="仿宋" w:eastAsia="仿宋"/>
          <w:b/>
          <w:sz w:val="30"/>
          <w:szCs w:val="30"/>
        </w:rPr>
        <w:t>:</w:t>
      </w:r>
    </w:p>
    <w:p w14:paraId="500B99EE">
      <w:pPr>
        <w:spacing w:line="520" w:lineRule="exact"/>
        <w:rPr>
          <w:rFonts w:ascii="仿宋" w:hAnsi="仿宋" w:eastAsia="仿宋"/>
          <w:sz w:val="30"/>
          <w:szCs w:val="30"/>
        </w:rPr>
      </w:pPr>
      <w:r>
        <w:rPr>
          <w:rFonts w:hint="eastAsia" w:ascii="仿宋" w:hAnsi="仿宋" w:eastAsia="仿宋"/>
          <w:sz w:val="30"/>
          <w:szCs w:val="30"/>
        </w:rPr>
        <w:t>集体（</w:t>
      </w:r>
      <w:r>
        <w:rPr>
          <w:rFonts w:ascii="仿宋" w:hAnsi="仿宋" w:eastAsia="仿宋"/>
          <w:sz w:val="30"/>
          <w:szCs w:val="30"/>
        </w:rPr>
        <w:t>孙梦醒、刘洋、任黎明、沈洁、董建云、陈敏、沈淑、</w:t>
      </w:r>
    </w:p>
    <w:p w14:paraId="1FA56073">
      <w:pPr>
        <w:spacing w:line="520" w:lineRule="exact"/>
        <w:rPr>
          <w:rFonts w:ascii="仿宋" w:hAnsi="仿宋" w:eastAsia="仿宋"/>
          <w:sz w:val="30"/>
          <w:szCs w:val="30"/>
        </w:rPr>
      </w:pPr>
      <w:r>
        <w:rPr>
          <w:rFonts w:ascii="仿宋" w:hAnsi="仿宋" w:eastAsia="仿宋"/>
          <w:sz w:val="30"/>
          <w:szCs w:val="30"/>
        </w:rPr>
        <w:t>顾燕、徐子杰、李珊珊、冯诗雨、沈亦洋、张泽宇、钱龙、李敏、李燕、陶子阳</w:t>
      </w:r>
      <w:r>
        <w:rPr>
          <w:rFonts w:hint="eastAsia" w:ascii="仿宋" w:hAnsi="仿宋" w:eastAsia="仿宋"/>
          <w:sz w:val="30"/>
          <w:szCs w:val="30"/>
        </w:rPr>
        <w:t>）</w:t>
      </w:r>
    </w:p>
    <w:p w14:paraId="2671D64C">
      <w:pPr>
        <w:spacing w:line="520" w:lineRule="exact"/>
        <w:ind w:left="432" w:leftChars="135"/>
        <w:rPr>
          <w:rFonts w:ascii="仿宋_GB2312" w:eastAsia="仿宋_GB2312"/>
          <w:szCs w:val="32"/>
        </w:rPr>
      </w:pPr>
    </w:p>
    <w:p w14:paraId="31CDDCDF"/>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329F4F3-B704-4575-A8D4-ADECE8237B05}"/>
  </w:font>
  <w:font w:name="方正仿宋_GB2312">
    <w:panose1 w:val="02000000000000000000"/>
    <w:charset w:val="86"/>
    <w:family w:val="auto"/>
    <w:pitch w:val="default"/>
    <w:sig w:usb0="A00002BF" w:usb1="184F6CFA" w:usb2="00000012" w:usb3="00000000" w:csb0="00040001" w:csb1="00000000"/>
    <w:embedRegular r:id="rId2" w:fontKey="{0A21C8D2-AB4D-4EF6-BCF4-102FB3D27A7E}"/>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A5D247CB-7DB4-433C-A92A-060E1E930000}"/>
  </w:font>
  <w:font w:name="仿宋">
    <w:panose1 w:val="02010609060101010101"/>
    <w:charset w:val="86"/>
    <w:family w:val="modern"/>
    <w:pitch w:val="default"/>
    <w:sig w:usb0="800002BF" w:usb1="38CF7CFA" w:usb2="00000016" w:usb3="00000000" w:csb0="00040001" w:csb1="00000000"/>
    <w:embedRegular r:id="rId4" w:fontKey="{49C64D0A-CB6A-4FA5-94F0-A9FE1E997B0F}"/>
  </w:font>
  <w:font w:name="楷体">
    <w:panose1 w:val="02010609060101010101"/>
    <w:charset w:val="86"/>
    <w:family w:val="modern"/>
    <w:pitch w:val="default"/>
    <w:sig w:usb0="800002BF" w:usb1="38CF7CFA" w:usb2="00000016" w:usb3="00000000" w:csb0="00040001" w:csb1="00000000"/>
    <w:embedRegular r:id="rId5" w:fontKey="{E951BE8E-B782-4D31-A80F-A3384155BA0E}"/>
  </w:font>
  <w:font w:name="仿宋_GB2312">
    <w:altName w:val="仿宋"/>
    <w:panose1 w:val="00000000000000000000"/>
    <w:charset w:val="86"/>
    <w:family w:val="modern"/>
    <w:pitch w:val="default"/>
    <w:sig w:usb0="00000000" w:usb1="00000000" w:usb2="00000010" w:usb3="00000000" w:csb0="00040000" w:csb1="00000000"/>
    <w:embedRegular r:id="rId6" w:fontKey="{4222409D-5214-4CDC-A48F-D5CCBC3E7BC7}"/>
  </w:font>
  <w:font w:name="KSOFE4500885">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051"/>
    <w:rsid w:val="000443DF"/>
    <w:rsid w:val="00086D2D"/>
    <w:rsid w:val="002228E9"/>
    <w:rsid w:val="0030152C"/>
    <w:rsid w:val="00343203"/>
    <w:rsid w:val="00354D43"/>
    <w:rsid w:val="0047242E"/>
    <w:rsid w:val="005736DC"/>
    <w:rsid w:val="005D508F"/>
    <w:rsid w:val="00615057"/>
    <w:rsid w:val="006A0051"/>
    <w:rsid w:val="006D4DC1"/>
    <w:rsid w:val="007126FB"/>
    <w:rsid w:val="007747DB"/>
    <w:rsid w:val="007A551B"/>
    <w:rsid w:val="007D5EBF"/>
    <w:rsid w:val="008A71B7"/>
    <w:rsid w:val="0095691D"/>
    <w:rsid w:val="00973608"/>
    <w:rsid w:val="00B47CCC"/>
    <w:rsid w:val="00BE79A7"/>
    <w:rsid w:val="00C46A23"/>
    <w:rsid w:val="00E23330"/>
    <w:rsid w:val="00EF1EBE"/>
    <w:rsid w:val="00F10D9E"/>
    <w:rsid w:val="00F122DA"/>
    <w:rsid w:val="00FA5441"/>
    <w:rsid w:val="056C54B9"/>
    <w:rsid w:val="103E4A53"/>
    <w:rsid w:val="135811D0"/>
    <w:rsid w:val="24C330E7"/>
    <w:rsid w:val="291819B2"/>
    <w:rsid w:val="2CC42FA5"/>
    <w:rsid w:val="33363900"/>
    <w:rsid w:val="3B677B08"/>
    <w:rsid w:val="3CCE7A05"/>
    <w:rsid w:val="47046B53"/>
    <w:rsid w:val="4CA94913"/>
    <w:rsid w:val="5D250E1A"/>
    <w:rsid w:val="610B7004"/>
    <w:rsid w:val="6FEA072C"/>
    <w:rsid w:val="70CD2B43"/>
    <w:rsid w:val="73F26870"/>
    <w:rsid w:val="789B25C4"/>
    <w:rsid w:val="78F87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字符"/>
    <w:basedOn w:val="6"/>
    <w:link w:val="3"/>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1403</Words>
  <Characters>1622</Characters>
  <Lines>13</Lines>
  <Paragraphs>3</Paragraphs>
  <TotalTime>16</TotalTime>
  <ScaleCrop>false</ScaleCrop>
  <LinksUpToDate>false</LinksUpToDate>
  <CharactersWithSpaces>1744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2026-04-21T06:54:00Z</dcterms:created>
  <dc:creator>EDY</dc:creator>
  <cp:lastModifiedBy>静静</cp:lastModifiedBy>
  <cp:lastPrinted>2026-05-06T01:20:00Z</cp:lastPrinted>
  <dcterms:modified xsi:type="dcterms:W3CDTF">2026-05-13T08:29:58Z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eyJoZGlkIjoiOTdjMzBhODBiMzJjY2ZjZjk2ZGQ5YmQ3OTc2ZDU1ZjIiLCJ1c2VySWQiOiI1NzY2NDU2NjMifQ==</vt:lpwstr>
  </property>
  <property fmtid="{D5CDD505-2E9C-101B-9397-08002B2CF9AE}" pid="4" name="ICV">
    <vt:lpwstr>D1E8F804244740EF9C47E280E765C5A0_12</vt:lpwstr>
  </property>
</Properties>
</file>